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B2405" w14:textId="56376242" w:rsidR="00714D5E" w:rsidRPr="00EF10CF" w:rsidRDefault="00714D5E" w:rsidP="00714D5E">
      <w:pPr>
        <w:pStyle w:val="CRCoverPage"/>
        <w:tabs>
          <w:tab w:val="right" w:pos="9639"/>
        </w:tabs>
        <w:spacing w:after="0"/>
        <w:rPr>
          <w:rFonts w:ascii="Times New Roman" w:hAnsi="Times New Roman"/>
          <w:b/>
          <w:i/>
          <w:noProof/>
          <w:sz w:val="24"/>
          <w:szCs w:val="18"/>
        </w:rPr>
      </w:pPr>
      <w:r w:rsidRPr="00EF10CF">
        <w:rPr>
          <w:rFonts w:ascii="Times New Roman" w:hAnsi="Times New Roman"/>
          <w:b/>
          <w:noProof/>
          <w:sz w:val="22"/>
          <w:szCs w:val="18"/>
        </w:rPr>
        <w:t>3GPP TSG-RAN3 Meeting #122</w:t>
      </w:r>
      <w:r w:rsidRPr="00EF10CF">
        <w:rPr>
          <w:rFonts w:ascii="Times New Roman" w:hAnsi="Times New Roman"/>
          <w:b/>
          <w:i/>
          <w:noProof/>
          <w:sz w:val="24"/>
          <w:szCs w:val="18"/>
        </w:rPr>
        <w:tab/>
        <w:t>R3-23</w:t>
      </w:r>
      <w:r w:rsidR="001D7C41">
        <w:rPr>
          <w:rFonts w:ascii="Times New Roman" w:hAnsi="Times New Roman"/>
          <w:b/>
          <w:i/>
          <w:noProof/>
          <w:sz w:val="24"/>
          <w:szCs w:val="18"/>
        </w:rPr>
        <w:t>7530</w:t>
      </w:r>
    </w:p>
    <w:p w14:paraId="0B7191EF" w14:textId="77777777" w:rsidR="00714D5E" w:rsidRPr="00EF10CF" w:rsidRDefault="00714D5E" w:rsidP="00714D5E">
      <w:pPr>
        <w:pStyle w:val="CRCoverPage"/>
        <w:outlineLvl w:val="0"/>
        <w:rPr>
          <w:rFonts w:ascii="Times New Roman" w:hAnsi="Times New Roman"/>
          <w:b/>
          <w:noProof/>
          <w:sz w:val="22"/>
          <w:szCs w:val="18"/>
        </w:rPr>
      </w:pPr>
      <w:r w:rsidRPr="00EF10CF">
        <w:rPr>
          <w:rFonts w:ascii="Times New Roman" w:hAnsi="Times New Roman"/>
          <w:b/>
          <w:noProof/>
          <w:sz w:val="22"/>
          <w:szCs w:val="18"/>
        </w:rPr>
        <w:t>Chicago, USA, 13</w:t>
      </w:r>
      <w:r w:rsidRPr="00EF10CF">
        <w:rPr>
          <w:rFonts w:ascii="Times New Roman" w:hAnsi="Times New Roman"/>
          <w:b/>
          <w:noProof/>
          <w:sz w:val="22"/>
          <w:szCs w:val="18"/>
          <w:vertAlign w:val="superscript"/>
        </w:rPr>
        <w:t>th</w:t>
      </w:r>
      <w:r w:rsidRPr="00EF10CF">
        <w:rPr>
          <w:rFonts w:ascii="Times New Roman" w:hAnsi="Times New Roman"/>
          <w:b/>
          <w:noProof/>
          <w:sz w:val="22"/>
          <w:szCs w:val="18"/>
        </w:rPr>
        <w:t xml:space="preserve"> November – 17</w:t>
      </w:r>
      <w:r w:rsidRPr="00EF10CF">
        <w:rPr>
          <w:rFonts w:ascii="Times New Roman" w:hAnsi="Times New Roman"/>
          <w:b/>
          <w:noProof/>
          <w:sz w:val="22"/>
          <w:szCs w:val="18"/>
          <w:vertAlign w:val="superscript"/>
        </w:rPr>
        <w:t>th</w:t>
      </w:r>
      <w:r w:rsidRPr="00EF10CF">
        <w:rPr>
          <w:rFonts w:ascii="Times New Roman" w:hAnsi="Times New Roman"/>
          <w:b/>
          <w:noProof/>
          <w:sz w:val="22"/>
          <w:szCs w:val="18"/>
        </w:rPr>
        <w:t xml:space="preserve"> November 2023</w:t>
      </w:r>
    </w:p>
    <w:p w14:paraId="1EF8478E" w14:textId="77777777" w:rsidR="00714D5E" w:rsidRPr="00EF10CF" w:rsidRDefault="00714D5E" w:rsidP="00714D5E">
      <w:pPr>
        <w:pStyle w:val="3GPPHeader"/>
        <w:rPr>
          <w:sz w:val="22"/>
          <w:lang w:val="en-GB"/>
        </w:rPr>
      </w:pPr>
      <w:r w:rsidRPr="00EF10CF">
        <w:rPr>
          <w:sz w:val="22"/>
          <w:lang w:val="en-GB"/>
        </w:rPr>
        <w:t>Agenda Item:</w:t>
      </w:r>
      <w:r w:rsidRPr="00EF10CF">
        <w:rPr>
          <w:sz w:val="22"/>
          <w:lang w:val="en-GB"/>
        </w:rPr>
        <w:tab/>
        <w:t>21.2</w:t>
      </w:r>
    </w:p>
    <w:p w14:paraId="35DDE23C" w14:textId="3A82AE7C" w:rsidR="00714D5E" w:rsidRPr="00EF10CF" w:rsidRDefault="00714D5E" w:rsidP="00714D5E">
      <w:pPr>
        <w:pStyle w:val="3GPPHeader"/>
        <w:rPr>
          <w:sz w:val="22"/>
          <w:lang w:val="en-GB"/>
        </w:rPr>
      </w:pPr>
      <w:r w:rsidRPr="00EF10CF">
        <w:rPr>
          <w:sz w:val="22"/>
          <w:lang w:val="en-GB"/>
        </w:rPr>
        <w:t>Source:</w:t>
      </w:r>
      <w:r w:rsidRPr="00EF10CF">
        <w:rPr>
          <w:sz w:val="22"/>
          <w:lang w:val="en-GB"/>
        </w:rPr>
        <w:tab/>
        <w:t>Ericsson</w:t>
      </w:r>
    </w:p>
    <w:p w14:paraId="1C3CF4DC" w14:textId="688BF416" w:rsidR="00714D5E" w:rsidRPr="00EF10CF" w:rsidRDefault="00714D5E" w:rsidP="00714D5E">
      <w:pPr>
        <w:pStyle w:val="3GPPHeader"/>
        <w:ind w:left="720" w:hanging="720"/>
        <w:rPr>
          <w:sz w:val="22"/>
          <w:lang w:val="en-GB"/>
        </w:rPr>
      </w:pPr>
      <w:r w:rsidRPr="00EF10CF">
        <w:rPr>
          <w:sz w:val="22"/>
          <w:lang w:val="en-GB"/>
        </w:rPr>
        <w:t>Title:</w:t>
      </w:r>
      <w:r w:rsidRPr="00EF10CF">
        <w:rPr>
          <w:sz w:val="22"/>
          <w:lang w:val="en-GB"/>
        </w:rPr>
        <w:tab/>
      </w:r>
      <w:r w:rsidRPr="00EF10CF">
        <w:rPr>
          <w:sz w:val="22"/>
          <w:lang w:val="en-GB"/>
        </w:rPr>
        <w:tab/>
        <w:t xml:space="preserve">Finalizing the Rel-18 </w:t>
      </w:r>
      <w:proofErr w:type="spellStart"/>
      <w:r w:rsidRPr="00EF10CF">
        <w:rPr>
          <w:sz w:val="22"/>
          <w:lang w:val="en-GB"/>
        </w:rPr>
        <w:t>eRedCap</w:t>
      </w:r>
      <w:proofErr w:type="spellEnd"/>
      <w:r w:rsidRPr="00EF10CF">
        <w:rPr>
          <w:sz w:val="22"/>
          <w:lang w:val="en-GB"/>
        </w:rPr>
        <w:t xml:space="preserve"> WI </w:t>
      </w:r>
    </w:p>
    <w:p w14:paraId="698A6653" w14:textId="03C3ECFC" w:rsidR="00714D5E" w:rsidRPr="00EF10CF" w:rsidRDefault="00714D5E" w:rsidP="00714D5E">
      <w:pPr>
        <w:pStyle w:val="3GPPHeader"/>
        <w:rPr>
          <w:sz w:val="22"/>
          <w:lang w:val="en-GB"/>
        </w:rPr>
      </w:pPr>
      <w:r w:rsidRPr="00EF10CF">
        <w:rPr>
          <w:sz w:val="22"/>
          <w:lang w:val="en-GB"/>
        </w:rPr>
        <w:t>Document for:</w:t>
      </w:r>
      <w:r w:rsidRPr="00EF10CF">
        <w:rPr>
          <w:sz w:val="22"/>
          <w:lang w:val="en-GB"/>
        </w:rPr>
        <w:tab/>
        <w:t>Discussion</w:t>
      </w:r>
    </w:p>
    <w:p w14:paraId="7D846626" w14:textId="77777777" w:rsidR="00714D5E" w:rsidRDefault="00714D5E" w:rsidP="00714D5E">
      <w:pPr>
        <w:pStyle w:val="Heading1"/>
      </w:pPr>
      <w:bookmarkStart w:id="0" w:name="_Hlk149501123"/>
      <w:r>
        <w:t>Introduction</w:t>
      </w:r>
      <w:bookmarkEnd w:id="0"/>
    </w:p>
    <w:p w14:paraId="6E232401" w14:textId="331F7B6E" w:rsidR="00252650" w:rsidRDefault="00714D5E">
      <w:pPr>
        <w:rPr>
          <w:rFonts w:ascii="Calibri" w:hAnsi="Calibri" w:cs="Calibri"/>
        </w:rPr>
      </w:pPr>
      <w:r>
        <w:rPr>
          <w:rFonts w:ascii="Calibri" w:hAnsi="Calibri" w:cs="Calibri"/>
        </w:rPr>
        <w:t xml:space="preserve">This paper </w:t>
      </w:r>
      <w:r w:rsidR="00801394">
        <w:rPr>
          <w:rFonts w:ascii="Calibri" w:hAnsi="Calibri" w:cs="Calibri"/>
        </w:rPr>
        <w:t xml:space="preserve">proposes a way-forward to address the remaining open issues of Rel-18 </w:t>
      </w:r>
      <w:proofErr w:type="spellStart"/>
      <w:r w:rsidR="00801394">
        <w:rPr>
          <w:rFonts w:ascii="Calibri" w:hAnsi="Calibri" w:cs="Calibri"/>
        </w:rPr>
        <w:t>eRedCap</w:t>
      </w:r>
      <w:proofErr w:type="spellEnd"/>
      <w:r w:rsidR="00F11243">
        <w:rPr>
          <w:rFonts w:ascii="Calibri" w:hAnsi="Calibri" w:cs="Calibri"/>
        </w:rPr>
        <w:t xml:space="preserve"> and close the</w:t>
      </w:r>
      <w:r w:rsidR="00801394">
        <w:rPr>
          <w:rFonts w:ascii="Calibri" w:hAnsi="Calibri" w:cs="Calibri"/>
        </w:rPr>
        <w:t xml:space="preserve"> Work Item</w:t>
      </w:r>
      <w:r w:rsidR="00F11243">
        <w:rPr>
          <w:rFonts w:ascii="Calibri" w:hAnsi="Calibri" w:cs="Calibri"/>
        </w:rPr>
        <w:t>.</w:t>
      </w:r>
    </w:p>
    <w:p w14:paraId="3AB28CA9" w14:textId="498168F7" w:rsidR="00F11243" w:rsidRDefault="002D2C37" w:rsidP="00F11243">
      <w:pPr>
        <w:pStyle w:val="Heading1"/>
        <w:tabs>
          <w:tab w:val="left" w:pos="432"/>
        </w:tabs>
        <w:ind w:left="431" w:hanging="431"/>
      </w:pPr>
      <w:r>
        <w:t>Discussion</w:t>
      </w:r>
    </w:p>
    <w:p w14:paraId="652EE7F7" w14:textId="0A39238A" w:rsidR="00F11243" w:rsidRPr="00185EF0" w:rsidRDefault="00F11243" w:rsidP="00F11243">
      <w:pPr>
        <w:pStyle w:val="Heading2"/>
        <w:numPr>
          <w:ilvl w:val="1"/>
          <w:numId w:val="1"/>
        </w:numPr>
        <w:rPr>
          <w:b/>
          <w:bCs/>
        </w:rPr>
      </w:pPr>
      <w:r w:rsidRPr="00185EF0">
        <w:rPr>
          <w:b/>
          <w:bCs/>
        </w:rPr>
        <w:t>Data size issue</w:t>
      </w:r>
    </w:p>
    <w:p w14:paraId="752904F2" w14:textId="6D71B0FD" w:rsidR="0097103E" w:rsidRDefault="00200CFE" w:rsidP="003824B5">
      <w:r w:rsidRPr="0029450E">
        <w:rPr>
          <w:rFonts w:ascii="Calibri" w:hAnsi="Calibri" w:cs="Calibri"/>
        </w:rPr>
        <w:t xml:space="preserve">RAN3 is waiting for a </w:t>
      </w:r>
      <w:proofErr w:type="gramStart"/>
      <w:r w:rsidRPr="0029450E">
        <w:rPr>
          <w:rFonts w:ascii="Calibri" w:hAnsi="Calibri" w:cs="Calibri"/>
        </w:rPr>
        <w:t>reply</w:t>
      </w:r>
      <w:proofErr w:type="gramEnd"/>
      <w:r w:rsidRPr="0029450E">
        <w:rPr>
          <w:rFonts w:ascii="Calibri" w:hAnsi="Calibri" w:cs="Calibri"/>
        </w:rPr>
        <w:t xml:space="preserve"> LS fr</w:t>
      </w:r>
      <w:r w:rsidR="003F0B4E" w:rsidRPr="0029450E">
        <w:rPr>
          <w:rFonts w:ascii="Calibri" w:hAnsi="Calibri" w:cs="Calibri"/>
        </w:rPr>
        <w:t>o</w:t>
      </w:r>
      <w:r w:rsidRPr="0029450E">
        <w:rPr>
          <w:rFonts w:ascii="Calibri" w:hAnsi="Calibri" w:cs="Calibri"/>
        </w:rPr>
        <w:t>m SA2 and CT4 on the feasibility on providing accurate</w:t>
      </w:r>
      <w:r w:rsidR="0029450E">
        <w:rPr>
          <w:rFonts w:ascii="Calibri" w:hAnsi="Calibri" w:cs="Calibri"/>
        </w:rPr>
        <w:t xml:space="preserve"> information on buffered data size per QFI</w:t>
      </w:r>
      <w:r w:rsidR="0097103E">
        <w:rPr>
          <w:rFonts w:ascii="Calibri" w:hAnsi="Calibri" w:cs="Calibri"/>
        </w:rPr>
        <w:t xml:space="preserve"> </w:t>
      </w:r>
      <w:r w:rsidR="00261B66">
        <w:rPr>
          <w:rFonts w:ascii="Calibri" w:hAnsi="Calibri" w:cs="Calibri"/>
        </w:rPr>
        <w:t>that can be signaled</w:t>
      </w:r>
      <w:r w:rsidR="000C1D84">
        <w:rPr>
          <w:rFonts w:ascii="Calibri" w:hAnsi="Calibri" w:cs="Calibri"/>
        </w:rPr>
        <w:t xml:space="preserve"> </w:t>
      </w:r>
      <w:r w:rsidR="00261B66">
        <w:rPr>
          <w:rFonts w:ascii="Calibri" w:hAnsi="Calibri" w:cs="Calibri"/>
        </w:rPr>
        <w:t>in</w:t>
      </w:r>
      <w:r w:rsidR="000C1D84">
        <w:rPr>
          <w:rFonts w:ascii="Calibri" w:hAnsi="Calibri" w:cs="Calibri"/>
        </w:rPr>
        <w:t xml:space="preserve"> </w:t>
      </w:r>
      <w:r w:rsidR="00261B66">
        <w:rPr>
          <w:rFonts w:ascii="Calibri" w:hAnsi="Calibri" w:cs="Calibri"/>
        </w:rPr>
        <w:t xml:space="preserve">the RAN PAGING REQUEST message to support paging decision </w:t>
      </w:r>
      <w:r w:rsidR="000C1D84">
        <w:rPr>
          <w:rFonts w:ascii="Calibri" w:hAnsi="Calibri" w:cs="Calibri"/>
        </w:rPr>
        <w:t xml:space="preserve">in RAN </w:t>
      </w:r>
      <w:r w:rsidR="00261B66">
        <w:rPr>
          <w:rFonts w:ascii="Calibri" w:hAnsi="Calibri" w:cs="Calibri"/>
        </w:rPr>
        <w:t xml:space="preserve">with MT-SDT </w:t>
      </w:r>
      <w:r w:rsidR="000C1D84">
        <w:rPr>
          <w:rFonts w:ascii="Calibri" w:hAnsi="Calibri" w:cs="Calibri"/>
        </w:rPr>
        <w:t>and</w:t>
      </w:r>
      <w:r w:rsidR="00261B66">
        <w:rPr>
          <w:rFonts w:ascii="Calibri" w:hAnsi="Calibri" w:cs="Calibri"/>
        </w:rPr>
        <w:t xml:space="preserve"> CN buffering</w:t>
      </w:r>
      <w:r w:rsidR="000C1D84">
        <w:rPr>
          <w:rFonts w:ascii="Calibri" w:hAnsi="Calibri" w:cs="Calibri"/>
        </w:rPr>
        <w:t xml:space="preserve"> </w:t>
      </w:r>
      <w:r w:rsidR="0097103E">
        <w:rPr>
          <w:rFonts w:ascii="Calibri" w:hAnsi="Calibri" w:cs="Calibri"/>
        </w:rPr>
        <w:t>[1]</w:t>
      </w:r>
      <w:r w:rsidR="0029450E">
        <w:rPr>
          <w:rFonts w:ascii="Calibri" w:hAnsi="Calibri" w:cs="Calibri"/>
        </w:rPr>
        <w:t>.</w:t>
      </w:r>
      <w:r w:rsidR="0097103E" w:rsidRPr="0097103E">
        <w:t xml:space="preserve"> </w:t>
      </w:r>
    </w:p>
    <w:p w14:paraId="3307B969" w14:textId="646A9F06" w:rsidR="00F11243" w:rsidRDefault="0097103E" w:rsidP="003824B5">
      <w:pPr>
        <w:rPr>
          <w:rFonts w:ascii="Calibri" w:hAnsi="Calibri" w:cs="Calibri"/>
        </w:rPr>
      </w:pPr>
      <w:r>
        <w:rPr>
          <w:rFonts w:ascii="Calibri" w:hAnsi="Calibri" w:cs="Calibri"/>
        </w:rPr>
        <w:t>SA2 ha</w:t>
      </w:r>
      <w:r w:rsidR="000C1D84">
        <w:rPr>
          <w:rFonts w:ascii="Calibri" w:hAnsi="Calibri" w:cs="Calibri"/>
        </w:rPr>
        <w:t>ve</w:t>
      </w:r>
      <w:r>
        <w:rPr>
          <w:rFonts w:ascii="Calibri" w:hAnsi="Calibri" w:cs="Calibri"/>
        </w:rPr>
        <w:t xml:space="preserve"> sent a preliminary reply LS </w:t>
      </w:r>
      <w:r w:rsidRPr="0097103E">
        <w:rPr>
          <w:rFonts w:ascii="Calibri" w:hAnsi="Calibri" w:cs="Calibri"/>
        </w:rPr>
        <w:t>express</w:t>
      </w:r>
      <w:r>
        <w:rPr>
          <w:rFonts w:ascii="Calibri" w:hAnsi="Calibri" w:cs="Calibri"/>
        </w:rPr>
        <w:t>ing s</w:t>
      </w:r>
      <w:r w:rsidRPr="0097103E">
        <w:rPr>
          <w:rFonts w:ascii="Calibri" w:hAnsi="Calibri" w:cs="Calibri"/>
        </w:rPr>
        <w:t>ome concerns on N4 interface impacts and signaling loa</w:t>
      </w:r>
      <w:r w:rsidR="004258F7">
        <w:rPr>
          <w:rFonts w:ascii="Calibri" w:hAnsi="Calibri" w:cs="Calibri"/>
        </w:rPr>
        <w:t>d between SMF and UPF. SA2 ha</w:t>
      </w:r>
      <w:r w:rsidR="000C1D84">
        <w:rPr>
          <w:rFonts w:ascii="Calibri" w:hAnsi="Calibri" w:cs="Calibri"/>
        </w:rPr>
        <w:t>ve</w:t>
      </w:r>
      <w:r w:rsidR="004258F7">
        <w:rPr>
          <w:rFonts w:ascii="Calibri" w:hAnsi="Calibri" w:cs="Calibri"/>
        </w:rPr>
        <w:t xml:space="preserve"> further sent</w:t>
      </w:r>
      <w:r>
        <w:rPr>
          <w:rFonts w:ascii="Calibri" w:hAnsi="Calibri" w:cs="Calibri"/>
        </w:rPr>
        <w:t xml:space="preserve"> a question to CT4 to confirm on SA2’s assumptions [2]. We can expect further response from CT4</w:t>
      </w:r>
      <w:r w:rsidR="004258F7">
        <w:rPr>
          <w:rFonts w:ascii="Calibri" w:hAnsi="Calibri" w:cs="Calibri"/>
        </w:rPr>
        <w:t xml:space="preserve"> to RAN</w:t>
      </w:r>
      <w:r w:rsidR="00261B66">
        <w:rPr>
          <w:rFonts w:ascii="Calibri" w:hAnsi="Calibri" w:cs="Calibri"/>
        </w:rPr>
        <w:t>3 and SA2 during this meeting, or next one</w:t>
      </w:r>
      <w:r>
        <w:rPr>
          <w:rFonts w:ascii="Calibri" w:hAnsi="Calibri" w:cs="Calibri"/>
        </w:rPr>
        <w:t>.</w:t>
      </w:r>
    </w:p>
    <w:p w14:paraId="4ECBCBE2" w14:textId="708D45CA" w:rsidR="0097103E" w:rsidRDefault="005C5BCB" w:rsidP="003824B5">
      <w:pPr>
        <w:rPr>
          <w:rFonts w:ascii="Calibri" w:hAnsi="Calibri" w:cs="Calibri"/>
        </w:rPr>
      </w:pPr>
      <w:r>
        <w:rPr>
          <w:rFonts w:ascii="Calibri" w:hAnsi="Calibri" w:cs="Calibri"/>
        </w:rPr>
        <w:t xml:space="preserve">Meanwhile another solution proposed by SA2 </w:t>
      </w:r>
      <w:r w:rsidR="00602DB3">
        <w:rPr>
          <w:rFonts w:ascii="Calibri" w:hAnsi="Calibri" w:cs="Calibri"/>
        </w:rPr>
        <w:t xml:space="preserve">previously, </w:t>
      </w:r>
      <w:r>
        <w:rPr>
          <w:rFonts w:ascii="Calibri" w:hAnsi="Calibri" w:cs="Calibri"/>
        </w:rPr>
        <w:t>that was deemed feasible</w:t>
      </w:r>
      <w:r w:rsidR="00261B66">
        <w:rPr>
          <w:rFonts w:ascii="Calibri" w:hAnsi="Calibri" w:cs="Calibri"/>
        </w:rPr>
        <w:t xml:space="preserve"> by SA2</w:t>
      </w:r>
      <w:r w:rsidR="00602DB3">
        <w:rPr>
          <w:rFonts w:ascii="Calibri" w:hAnsi="Calibri" w:cs="Calibri"/>
        </w:rPr>
        <w:t>,</w:t>
      </w:r>
      <w:r>
        <w:rPr>
          <w:rFonts w:ascii="Calibri" w:hAnsi="Calibri" w:cs="Calibri"/>
        </w:rPr>
        <w:t xml:space="preserve"> is to signal the size of the first data size [3].</w:t>
      </w:r>
      <w:r w:rsidR="00602DB3">
        <w:rPr>
          <w:rFonts w:ascii="Calibri" w:hAnsi="Calibri" w:cs="Calibri"/>
        </w:rPr>
        <w:t xml:space="preserve"> Some companies in RAN3 consider that this option is not sufficient, as it can lead NG-RAN to </w:t>
      </w:r>
      <w:r w:rsidR="003F7E64">
        <w:rPr>
          <w:rFonts w:ascii="Calibri" w:hAnsi="Calibri" w:cs="Calibri"/>
        </w:rPr>
        <w:t>arbitrarily page with MT-SDT.</w:t>
      </w:r>
    </w:p>
    <w:p w14:paraId="4FA1FFBA" w14:textId="70BDF770" w:rsidR="005C5BCB" w:rsidRDefault="00830175" w:rsidP="003824B5">
      <w:pPr>
        <w:rPr>
          <w:rFonts w:ascii="Calibri" w:hAnsi="Calibri" w:cs="Calibri"/>
        </w:rPr>
      </w:pPr>
      <w:r>
        <w:rPr>
          <w:rFonts w:ascii="Calibri" w:hAnsi="Calibri" w:cs="Calibri"/>
        </w:rPr>
        <w:t xml:space="preserve">Below is the way-forward that RAN3 can adopt regarding the finalization of </w:t>
      </w:r>
      <w:proofErr w:type="spellStart"/>
      <w:r w:rsidR="003271C4">
        <w:rPr>
          <w:rFonts w:ascii="Calibri" w:hAnsi="Calibri" w:cs="Calibri"/>
        </w:rPr>
        <w:t>signalling</w:t>
      </w:r>
      <w:proofErr w:type="spellEnd"/>
      <w:r w:rsidR="003271C4">
        <w:rPr>
          <w:rFonts w:ascii="Calibri" w:hAnsi="Calibri" w:cs="Calibri"/>
        </w:rPr>
        <w:t xml:space="preserve"> the Data Size Information in the RAN PAGING REQUEST </w:t>
      </w:r>
      <w:proofErr w:type="gramStart"/>
      <w:r w:rsidR="003271C4">
        <w:rPr>
          <w:rFonts w:ascii="Calibri" w:hAnsi="Calibri" w:cs="Calibri"/>
        </w:rPr>
        <w:t>message</w:t>
      </w:r>
      <w:proofErr w:type="gramEnd"/>
    </w:p>
    <w:p w14:paraId="2DC26717" w14:textId="77777777" w:rsidR="003824B5" w:rsidRDefault="00983EF0" w:rsidP="003824B5">
      <w:pPr>
        <w:rPr>
          <w:rFonts w:ascii="Calibri" w:hAnsi="Calibri" w:cs="Calibri"/>
          <w:b/>
          <w:bCs/>
        </w:rPr>
      </w:pPr>
      <w:r w:rsidRPr="003824B5">
        <w:rPr>
          <w:rFonts w:ascii="Calibri" w:hAnsi="Calibri" w:cs="Calibri"/>
          <w:b/>
          <w:bCs/>
        </w:rPr>
        <w:t xml:space="preserve">Case </w:t>
      </w:r>
      <w:proofErr w:type="gramStart"/>
      <w:r w:rsidRPr="003824B5">
        <w:rPr>
          <w:rFonts w:ascii="Calibri" w:hAnsi="Calibri" w:cs="Calibri"/>
          <w:b/>
          <w:bCs/>
        </w:rPr>
        <w:t>1 :</w:t>
      </w:r>
      <w:proofErr w:type="gramEnd"/>
      <w:r w:rsidRPr="003824B5">
        <w:rPr>
          <w:rFonts w:ascii="Calibri" w:hAnsi="Calibri" w:cs="Calibri"/>
          <w:b/>
          <w:bCs/>
        </w:rPr>
        <w:t xml:space="preserve"> </w:t>
      </w:r>
    </w:p>
    <w:p w14:paraId="7B30D3DE" w14:textId="76D37901" w:rsidR="00830175" w:rsidRPr="003824B5" w:rsidRDefault="00983EF0" w:rsidP="001D4B52">
      <w:pPr>
        <w:pStyle w:val="ListParagraph"/>
        <w:numPr>
          <w:ilvl w:val="0"/>
          <w:numId w:val="5"/>
        </w:numPr>
        <w:rPr>
          <w:rFonts w:ascii="Calibri" w:hAnsi="Calibri" w:cs="Calibri"/>
          <w:b/>
          <w:bCs/>
        </w:rPr>
      </w:pPr>
      <w:r w:rsidRPr="003824B5">
        <w:rPr>
          <w:rFonts w:ascii="Calibri" w:hAnsi="Calibri" w:cs="Calibri"/>
          <w:b/>
          <w:bCs/>
        </w:rPr>
        <w:t xml:space="preserve">Both SA2 and CT4 confirm on the feasibility of signaling </w:t>
      </w:r>
      <w:r w:rsidR="003F7E64">
        <w:rPr>
          <w:rFonts w:ascii="Calibri" w:hAnsi="Calibri" w:cs="Calibri"/>
          <w:b/>
          <w:bCs/>
        </w:rPr>
        <w:t xml:space="preserve">the list of </w:t>
      </w:r>
      <w:r w:rsidR="001D4B52">
        <w:rPr>
          <w:rFonts w:ascii="Calibri" w:hAnsi="Calibri" w:cs="Calibri"/>
          <w:b/>
          <w:bCs/>
        </w:rPr>
        <w:t>the</w:t>
      </w:r>
      <w:r w:rsidR="003F7E64">
        <w:rPr>
          <w:rFonts w:ascii="Calibri" w:hAnsi="Calibri" w:cs="Calibri"/>
          <w:b/>
          <w:bCs/>
        </w:rPr>
        <w:t xml:space="preserve"> </w:t>
      </w:r>
      <w:r w:rsidRPr="003824B5">
        <w:rPr>
          <w:rFonts w:ascii="Calibri" w:hAnsi="Calibri" w:cs="Calibri"/>
          <w:b/>
          <w:bCs/>
        </w:rPr>
        <w:t>most recent buffered data size per QFI</w:t>
      </w:r>
    </w:p>
    <w:p w14:paraId="761D43F8" w14:textId="29D62216" w:rsidR="00CA4008" w:rsidRDefault="00CA4008" w:rsidP="001D4B52">
      <w:pPr>
        <w:pStyle w:val="ListParagraph"/>
        <w:numPr>
          <w:ilvl w:val="0"/>
          <w:numId w:val="3"/>
        </w:numPr>
        <w:rPr>
          <w:rFonts w:ascii="Calibri" w:hAnsi="Calibri" w:cs="Calibri"/>
        </w:rPr>
      </w:pPr>
      <w:r>
        <w:rPr>
          <w:rFonts w:ascii="Calibri" w:hAnsi="Calibri" w:cs="Calibri"/>
        </w:rPr>
        <w:t>RAN3 adds a list of data size per QFI in the RAN PAGING REQUEST message</w:t>
      </w:r>
      <w:r w:rsidR="003F7E64">
        <w:rPr>
          <w:rFonts w:ascii="Calibri" w:hAnsi="Calibri" w:cs="Calibri"/>
        </w:rPr>
        <w:t>.</w:t>
      </w:r>
    </w:p>
    <w:p w14:paraId="5B7115F4" w14:textId="77777777" w:rsidR="001D4B52" w:rsidRDefault="00605A3A" w:rsidP="003824B5">
      <w:pPr>
        <w:rPr>
          <w:rFonts w:ascii="Calibri" w:hAnsi="Calibri" w:cs="Calibri"/>
          <w:b/>
          <w:bCs/>
        </w:rPr>
      </w:pPr>
      <w:r w:rsidRPr="003824B5">
        <w:rPr>
          <w:rFonts w:ascii="Calibri" w:hAnsi="Calibri" w:cs="Calibri"/>
          <w:b/>
          <w:bCs/>
        </w:rPr>
        <w:t xml:space="preserve">Case2: </w:t>
      </w:r>
    </w:p>
    <w:p w14:paraId="6AF7E769" w14:textId="7904E03D" w:rsidR="00605A3A" w:rsidRPr="001D4B52" w:rsidRDefault="00605A3A" w:rsidP="001D4B52">
      <w:pPr>
        <w:pStyle w:val="ListParagraph"/>
        <w:numPr>
          <w:ilvl w:val="0"/>
          <w:numId w:val="4"/>
        </w:numPr>
        <w:rPr>
          <w:rFonts w:ascii="Calibri" w:hAnsi="Calibri" w:cs="Calibri"/>
          <w:b/>
          <w:bCs/>
        </w:rPr>
      </w:pPr>
      <w:r w:rsidRPr="001D4B52">
        <w:rPr>
          <w:rFonts w:ascii="Calibri" w:hAnsi="Calibri" w:cs="Calibri"/>
          <w:b/>
          <w:bCs/>
        </w:rPr>
        <w:t xml:space="preserve">Both SA2 and CT4 </w:t>
      </w:r>
      <w:r w:rsidR="001D4B52" w:rsidRPr="001D4B52">
        <w:rPr>
          <w:rFonts w:ascii="Calibri" w:hAnsi="Calibri" w:cs="Calibri"/>
          <w:b/>
          <w:bCs/>
        </w:rPr>
        <w:t>express</w:t>
      </w:r>
      <w:r w:rsidRPr="001D4B52">
        <w:rPr>
          <w:rFonts w:ascii="Calibri" w:hAnsi="Calibri" w:cs="Calibri"/>
          <w:b/>
          <w:bCs/>
        </w:rPr>
        <w:t xml:space="preserve"> concerns on </w:t>
      </w:r>
      <w:r w:rsidR="001D4B52" w:rsidRPr="001D4B52">
        <w:rPr>
          <w:rFonts w:ascii="Calibri" w:hAnsi="Calibri" w:cs="Calibri"/>
          <w:b/>
          <w:bCs/>
        </w:rPr>
        <w:t>complexity</w:t>
      </w:r>
      <w:r w:rsidRPr="001D4B52">
        <w:rPr>
          <w:rFonts w:ascii="Calibri" w:hAnsi="Calibri" w:cs="Calibri"/>
          <w:b/>
          <w:bCs/>
        </w:rPr>
        <w:t xml:space="preserve"> and </w:t>
      </w:r>
      <w:r w:rsidR="001D4B52">
        <w:rPr>
          <w:rFonts w:ascii="Calibri" w:hAnsi="Calibri" w:cs="Calibri"/>
          <w:b/>
          <w:bCs/>
        </w:rPr>
        <w:t xml:space="preserve">CN </w:t>
      </w:r>
      <w:r w:rsidRPr="001D4B52">
        <w:rPr>
          <w:rFonts w:ascii="Calibri" w:hAnsi="Calibri" w:cs="Calibri"/>
          <w:b/>
          <w:bCs/>
        </w:rPr>
        <w:t>specification</w:t>
      </w:r>
      <w:r w:rsidR="001D4B52">
        <w:rPr>
          <w:rFonts w:ascii="Calibri" w:hAnsi="Calibri" w:cs="Calibri"/>
          <w:b/>
          <w:bCs/>
        </w:rPr>
        <w:t>s</w:t>
      </w:r>
      <w:r w:rsidRPr="001D4B52">
        <w:rPr>
          <w:rFonts w:ascii="Calibri" w:hAnsi="Calibri" w:cs="Calibri"/>
          <w:b/>
          <w:bCs/>
        </w:rPr>
        <w:t xml:space="preserve"> impacts on </w:t>
      </w:r>
      <w:r w:rsidR="007D63C6">
        <w:rPr>
          <w:rFonts w:ascii="Calibri" w:hAnsi="Calibri" w:cs="Calibri"/>
          <w:b/>
          <w:bCs/>
        </w:rPr>
        <w:t>s</w:t>
      </w:r>
      <w:r w:rsidR="007D63C6" w:rsidRPr="001D4B52">
        <w:rPr>
          <w:rFonts w:ascii="Calibri" w:hAnsi="Calibri" w:cs="Calibri"/>
          <w:b/>
          <w:bCs/>
        </w:rPr>
        <w:t>upport</w:t>
      </w:r>
      <w:r w:rsidR="007D63C6">
        <w:rPr>
          <w:rFonts w:ascii="Calibri" w:hAnsi="Calibri" w:cs="Calibri"/>
          <w:b/>
          <w:bCs/>
        </w:rPr>
        <w:t>ing</w:t>
      </w:r>
      <w:r w:rsidRPr="001D4B52">
        <w:rPr>
          <w:rFonts w:ascii="Calibri" w:hAnsi="Calibri" w:cs="Calibri"/>
          <w:b/>
          <w:bCs/>
        </w:rPr>
        <w:t xml:space="preserve"> the solution of signaling most recent buffered data size per QFI.</w:t>
      </w:r>
    </w:p>
    <w:p w14:paraId="4DF4EAFD" w14:textId="05DC90A6" w:rsidR="00605A3A" w:rsidRDefault="00CE170D" w:rsidP="003824B5">
      <w:pPr>
        <w:pStyle w:val="ListParagraph"/>
        <w:numPr>
          <w:ilvl w:val="0"/>
          <w:numId w:val="3"/>
        </w:numPr>
        <w:rPr>
          <w:rFonts w:ascii="Calibri" w:hAnsi="Calibri" w:cs="Calibri"/>
        </w:rPr>
      </w:pPr>
      <w:r>
        <w:rPr>
          <w:rFonts w:ascii="Calibri" w:hAnsi="Calibri" w:cs="Calibri"/>
        </w:rPr>
        <w:t xml:space="preserve">Case 2.1: </w:t>
      </w:r>
      <w:r w:rsidR="00605A3A">
        <w:rPr>
          <w:rFonts w:ascii="Calibri" w:hAnsi="Calibri" w:cs="Calibri"/>
        </w:rPr>
        <w:t>RAN3 adds the data size of the first DL Data packet</w:t>
      </w:r>
      <w:r w:rsidR="007D63C6" w:rsidRPr="007D63C6">
        <w:rPr>
          <w:rFonts w:ascii="Calibri" w:hAnsi="Calibri" w:cs="Calibri"/>
        </w:rPr>
        <w:t xml:space="preserve"> </w:t>
      </w:r>
      <w:r w:rsidR="007D63C6">
        <w:rPr>
          <w:rFonts w:ascii="Calibri" w:hAnsi="Calibri" w:cs="Calibri"/>
        </w:rPr>
        <w:t>in the RAN PAGING REQUEST message</w:t>
      </w:r>
      <w:r w:rsidR="003824B5">
        <w:rPr>
          <w:rFonts w:ascii="Calibri" w:hAnsi="Calibri" w:cs="Calibri"/>
        </w:rPr>
        <w:t>.</w:t>
      </w:r>
    </w:p>
    <w:p w14:paraId="72003EC6" w14:textId="3BE2D809" w:rsidR="003824B5" w:rsidRPr="00605A3A" w:rsidRDefault="00CE170D" w:rsidP="003824B5">
      <w:pPr>
        <w:pStyle w:val="ListParagraph"/>
        <w:numPr>
          <w:ilvl w:val="0"/>
          <w:numId w:val="3"/>
        </w:numPr>
        <w:rPr>
          <w:rFonts w:ascii="Calibri" w:hAnsi="Calibri" w:cs="Calibri"/>
        </w:rPr>
      </w:pPr>
      <w:r>
        <w:rPr>
          <w:rFonts w:ascii="Calibri" w:hAnsi="Calibri" w:cs="Calibri"/>
        </w:rPr>
        <w:t>Case 2.2: if RAN3 does not agree on Case 2.1</w:t>
      </w:r>
      <w:r w:rsidR="003824B5">
        <w:rPr>
          <w:rFonts w:ascii="Calibri" w:hAnsi="Calibri" w:cs="Calibri"/>
        </w:rPr>
        <w:t xml:space="preserve">, RAN3 does nothing. </w:t>
      </w:r>
      <w:r w:rsidR="003824B5" w:rsidRPr="003824B5">
        <w:rPr>
          <w:rFonts w:ascii="Calibri" w:hAnsi="Calibri" w:cs="Calibri"/>
          <w:b/>
          <w:bCs/>
        </w:rPr>
        <w:t>In such case the WI completion is not impacted</w:t>
      </w:r>
    </w:p>
    <w:p w14:paraId="7E506492" w14:textId="48ED176A" w:rsidR="00605A3A" w:rsidRDefault="004D1957" w:rsidP="00605A3A">
      <w:pPr>
        <w:spacing w:before="240"/>
        <w:rPr>
          <w:rFonts w:ascii="Calibri" w:hAnsi="Calibri" w:cs="Calibri"/>
        </w:rPr>
      </w:pPr>
      <w:r>
        <w:rPr>
          <w:rFonts w:ascii="Calibri" w:hAnsi="Calibri" w:cs="Calibri"/>
        </w:rPr>
        <w:t xml:space="preserve">Whatever the outcome </w:t>
      </w:r>
      <w:r w:rsidR="00185EF0">
        <w:rPr>
          <w:rFonts w:ascii="Calibri" w:hAnsi="Calibri" w:cs="Calibri"/>
        </w:rPr>
        <w:t xml:space="preserve">in RAN3 </w:t>
      </w:r>
      <w:r>
        <w:rPr>
          <w:rFonts w:ascii="Calibri" w:hAnsi="Calibri" w:cs="Calibri"/>
        </w:rPr>
        <w:t xml:space="preserve">regarding the support </w:t>
      </w:r>
      <w:r w:rsidR="00185EF0">
        <w:rPr>
          <w:rFonts w:ascii="Calibri" w:hAnsi="Calibri" w:cs="Calibri"/>
        </w:rPr>
        <w:t xml:space="preserve">or non-support </w:t>
      </w:r>
      <w:r>
        <w:rPr>
          <w:rFonts w:ascii="Calibri" w:hAnsi="Calibri" w:cs="Calibri"/>
        </w:rPr>
        <w:t>of Data Size Information over NGAP in the RAN PAGING REQUEST message (either list of data size per QFI, or size of fir DL data packet</w:t>
      </w:r>
      <w:r w:rsidR="00185EF0">
        <w:rPr>
          <w:rFonts w:ascii="Calibri" w:hAnsi="Calibri" w:cs="Calibri"/>
        </w:rPr>
        <w:t>, or doing nothing</w:t>
      </w:r>
      <w:r>
        <w:rPr>
          <w:rFonts w:ascii="Calibri" w:hAnsi="Calibri" w:cs="Calibri"/>
        </w:rPr>
        <w:t>)</w:t>
      </w:r>
      <w:r w:rsidR="00185EF0">
        <w:rPr>
          <w:rFonts w:ascii="Calibri" w:hAnsi="Calibri" w:cs="Calibri"/>
        </w:rPr>
        <w:t>, the WI completion is not impacted.</w:t>
      </w:r>
    </w:p>
    <w:p w14:paraId="70CF64C1" w14:textId="5274630D" w:rsidR="00185EF0" w:rsidRPr="00185EF0" w:rsidRDefault="00185EF0" w:rsidP="00185EF0">
      <w:pPr>
        <w:spacing w:before="240"/>
        <w:rPr>
          <w:rFonts w:ascii="Calibri" w:hAnsi="Calibri" w:cs="Calibri"/>
          <w:b/>
          <w:bCs/>
        </w:rPr>
      </w:pPr>
      <w:r w:rsidRPr="00185EF0">
        <w:rPr>
          <w:rFonts w:ascii="Calibri" w:hAnsi="Calibri" w:cs="Calibri"/>
          <w:b/>
          <w:bCs/>
        </w:rPr>
        <w:lastRenderedPageBreak/>
        <w:t xml:space="preserve">Observation </w:t>
      </w:r>
      <w:proofErr w:type="gramStart"/>
      <w:r w:rsidRPr="00185EF0">
        <w:rPr>
          <w:rFonts w:ascii="Calibri" w:hAnsi="Calibri" w:cs="Calibri"/>
          <w:b/>
          <w:bCs/>
        </w:rPr>
        <w:t>1 :</w:t>
      </w:r>
      <w:proofErr w:type="gramEnd"/>
      <w:r w:rsidRPr="00185EF0">
        <w:rPr>
          <w:rFonts w:ascii="Calibri" w:hAnsi="Calibri" w:cs="Calibri"/>
          <w:b/>
          <w:bCs/>
        </w:rPr>
        <w:t xml:space="preserve"> Whatever the outcome in RAN3 regarding the support or non-support of Data Size Information over NGAP in the RAN PAGING REQUEST message (</w:t>
      </w:r>
      <w:r w:rsidR="001869C6">
        <w:rPr>
          <w:rFonts w:ascii="Calibri" w:hAnsi="Calibri" w:cs="Calibri"/>
          <w:b/>
          <w:bCs/>
        </w:rPr>
        <w:t xml:space="preserve">the </w:t>
      </w:r>
      <w:r w:rsidR="001869C6" w:rsidRPr="00185EF0">
        <w:rPr>
          <w:rFonts w:ascii="Calibri" w:hAnsi="Calibri" w:cs="Calibri"/>
          <w:b/>
          <w:bCs/>
        </w:rPr>
        <w:t xml:space="preserve">Data Size Information </w:t>
      </w:r>
      <w:r w:rsidR="001869C6">
        <w:rPr>
          <w:rFonts w:ascii="Calibri" w:hAnsi="Calibri" w:cs="Calibri"/>
          <w:b/>
          <w:bCs/>
        </w:rPr>
        <w:t xml:space="preserve"> is </w:t>
      </w:r>
      <w:r w:rsidRPr="00185EF0">
        <w:rPr>
          <w:rFonts w:ascii="Calibri" w:hAnsi="Calibri" w:cs="Calibri"/>
          <w:b/>
          <w:bCs/>
        </w:rPr>
        <w:t>either list of data size per QFI, or size of fir DL data packet, or doing nothing), the</w:t>
      </w:r>
      <w:r w:rsidR="001869C6" w:rsidRPr="001869C6">
        <w:rPr>
          <w:rFonts w:ascii="Calibri" w:hAnsi="Calibri" w:cs="Calibri"/>
          <w:b/>
          <w:bCs/>
        </w:rPr>
        <w:t xml:space="preserve"> </w:t>
      </w:r>
      <w:proofErr w:type="spellStart"/>
      <w:r w:rsidR="001869C6">
        <w:rPr>
          <w:rFonts w:ascii="Calibri" w:hAnsi="Calibri" w:cs="Calibri"/>
          <w:b/>
          <w:bCs/>
        </w:rPr>
        <w:t>eRedCap</w:t>
      </w:r>
      <w:proofErr w:type="spellEnd"/>
      <w:r w:rsidR="001869C6">
        <w:rPr>
          <w:rFonts w:ascii="Calibri" w:hAnsi="Calibri" w:cs="Calibri"/>
          <w:b/>
          <w:bCs/>
        </w:rPr>
        <w:t xml:space="preserve"> </w:t>
      </w:r>
      <w:r w:rsidR="001869C6" w:rsidRPr="00185EF0">
        <w:rPr>
          <w:rFonts w:ascii="Calibri" w:hAnsi="Calibri" w:cs="Calibri"/>
          <w:b/>
          <w:bCs/>
        </w:rPr>
        <w:t xml:space="preserve">WI </w:t>
      </w:r>
      <w:r w:rsidRPr="00185EF0">
        <w:rPr>
          <w:rFonts w:ascii="Calibri" w:hAnsi="Calibri" w:cs="Calibri"/>
          <w:b/>
          <w:bCs/>
        </w:rPr>
        <w:t>completion is not impacted.</w:t>
      </w:r>
    </w:p>
    <w:p w14:paraId="5C231608" w14:textId="72522262" w:rsidR="008D6394" w:rsidRDefault="008D6394" w:rsidP="008D6394">
      <w:pPr>
        <w:rPr>
          <w:rFonts w:ascii="Calibri" w:hAnsi="Calibri" w:cs="Calibri"/>
        </w:rPr>
      </w:pPr>
      <w:r>
        <w:rPr>
          <w:rFonts w:ascii="Calibri" w:hAnsi="Calibri" w:cs="Calibri"/>
        </w:rPr>
        <w:t xml:space="preserve">In our view, </w:t>
      </w:r>
      <w:r w:rsidRPr="008D6394">
        <w:rPr>
          <w:rFonts w:ascii="Calibri" w:hAnsi="Calibri" w:cs="Calibri"/>
        </w:rPr>
        <w:t xml:space="preserve">multiple QFIs will not exist for an SDT application. </w:t>
      </w:r>
      <w:proofErr w:type="gramStart"/>
      <w:r>
        <w:rPr>
          <w:rFonts w:ascii="Calibri" w:hAnsi="Calibri" w:cs="Calibri"/>
        </w:rPr>
        <w:t>Therefore</w:t>
      </w:r>
      <w:proofErr w:type="gramEnd"/>
      <w:r>
        <w:rPr>
          <w:rFonts w:ascii="Calibri" w:hAnsi="Calibri" w:cs="Calibri"/>
        </w:rPr>
        <w:t xml:space="preserve"> the solution in case 1 is </w:t>
      </w:r>
      <w:r w:rsidR="00330AC2">
        <w:rPr>
          <w:rFonts w:ascii="Calibri" w:hAnsi="Calibri" w:cs="Calibri"/>
        </w:rPr>
        <w:t>overoptimized</w:t>
      </w:r>
      <w:r>
        <w:rPr>
          <w:rFonts w:ascii="Calibri" w:hAnsi="Calibri" w:cs="Calibri"/>
        </w:rPr>
        <w:t xml:space="preserve"> and unnecessarily creates complications in CN. </w:t>
      </w:r>
      <w:r w:rsidR="00330AC2">
        <w:rPr>
          <w:rFonts w:ascii="Calibri" w:hAnsi="Calibri" w:cs="Calibri"/>
        </w:rPr>
        <w:t>For SDT,</w:t>
      </w:r>
      <w:r w:rsidRPr="008D6394">
        <w:rPr>
          <w:rFonts w:ascii="Calibri" w:hAnsi="Calibri" w:cs="Calibri"/>
        </w:rPr>
        <w:t xml:space="preserve"> only one </w:t>
      </w:r>
      <w:r w:rsidR="00330AC2">
        <w:rPr>
          <w:rFonts w:ascii="Calibri" w:hAnsi="Calibri" w:cs="Calibri"/>
        </w:rPr>
        <w:t>QFI is</w:t>
      </w:r>
      <w:r w:rsidRPr="008D6394">
        <w:rPr>
          <w:rFonts w:ascii="Calibri" w:hAnsi="Calibri" w:cs="Calibri"/>
        </w:rPr>
        <w:t xml:space="preserve"> </w:t>
      </w:r>
      <w:r w:rsidR="00330AC2">
        <w:rPr>
          <w:rFonts w:ascii="Calibri" w:hAnsi="Calibri" w:cs="Calibri"/>
        </w:rPr>
        <w:t>enough</w:t>
      </w:r>
      <w:r w:rsidRPr="008D6394">
        <w:rPr>
          <w:rFonts w:ascii="Calibri" w:hAnsi="Calibri" w:cs="Calibri"/>
        </w:rPr>
        <w:t xml:space="preserve">, and the SDT data will in most cases fit in a single DL </w:t>
      </w:r>
      <w:r w:rsidR="00330AC2" w:rsidRPr="008D6394">
        <w:rPr>
          <w:rFonts w:ascii="Calibri" w:hAnsi="Calibri" w:cs="Calibri"/>
        </w:rPr>
        <w:t>transmission.</w:t>
      </w:r>
      <w:r w:rsidRPr="008D6394">
        <w:rPr>
          <w:rFonts w:ascii="Calibri" w:hAnsi="Calibri" w:cs="Calibri"/>
        </w:rPr>
        <w:t xml:space="preserve"> </w:t>
      </w:r>
      <w:r w:rsidR="00BD6417">
        <w:rPr>
          <w:rFonts w:ascii="Calibri" w:hAnsi="Calibri" w:cs="Calibri"/>
        </w:rPr>
        <w:t>If</w:t>
      </w:r>
      <w:r w:rsidR="00500493">
        <w:rPr>
          <w:rFonts w:ascii="Calibri" w:hAnsi="Calibri" w:cs="Calibri"/>
        </w:rPr>
        <w:t xml:space="preserve"> not, CN can signal can more </w:t>
      </w:r>
      <w:r w:rsidR="001A30A5">
        <w:rPr>
          <w:rFonts w:ascii="Calibri" w:hAnsi="Calibri" w:cs="Calibri"/>
        </w:rPr>
        <w:t>signaling/data is pending, but that can be left for later optimization</w:t>
      </w:r>
      <w:r w:rsidR="00C46560">
        <w:rPr>
          <w:rFonts w:ascii="Calibri" w:hAnsi="Calibri" w:cs="Calibri"/>
        </w:rPr>
        <w:t>.</w:t>
      </w:r>
    </w:p>
    <w:p w14:paraId="539FD772" w14:textId="09367839" w:rsidR="00C46560" w:rsidRPr="00C46560" w:rsidRDefault="00C46560" w:rsidP="008D6394">
      <w:pPr>
        <w:rPr>
          <w:rFonts w:ascii="Calibri" w:hAnsi="Calibri" w:cs="Calibri"/>
          <w:b/>
          <w:bCs/>
        </w:rPr>
      </w:pPr>
      <w:r w:rsidRPr="00C46560">
        <w:rPr>
          <w:rFonts w:ascii="Calibri" w:hAnsi="Calibri" w:cs="Calibri"/>
          <w:b/>
          <w:bCs/>
        </w:rPr>
        <w:t xml:space="preserve">Observation 2: In case </w:t>
      </w:r>
      <w:r w:rsidR="001869C6">
        <w:rPr>
          <w:rFonts w:ascii="Calibri" w:hAnsi="Calibri" w:cs="Calibri"/>
          <w:b/>
          <w:bCs/>
        </w:rPr>
        <w:t xml:space="preserve">of </w:t>
      </w:r>
      <w:r w:rsidRPr="00C46560">
        <w:rPr>
          <w:rFonts w:ascii="Calibri" w:hAnsi="Calibri" w:cs="Calibri"/>
          <w:b/>
          <w:bCs/>
        </w:rPr>
        <w:t xml:space="preserve">SDT, </w:t>
      </w:r>
      <w:r w:rsidR="001869C6">
        <w:rPr>
          <w:rFonts w:ascii="Calibri" w:hAnsi="Calibri" w:cs="Calibri"/>
          <w:b/>
          <w:bCs/>
        </w:rPr>
        <w:t>i</w:t>
      </w:r>
      <w:r w:rsidRPr="00C46560">
        <w:rPr>
          <w:rFonts w:ascii="Calibri" w:hAnsi="Calibri" w:cs="Calibri"/>
          <w:b/>
          <w:bCs/>
        </w:rPr>
        <w:t>t is expected that one MT-SDT transmission would in most cases fit in a single DL transmission</w:t>
      </w:r>
      <w:r w:rsidR="006F338C">
        <w:rPr>
          <w:rFonts w:ascii="Calibri" w:hAnsi="Calibri" w:cs="Calibri"/>
          <w:b/>
          <w:bCs/>
        </w:rPr>
        <w:t xml:space="preserve"> and </w:t>
      </w:r>
      <w:r w:rsidR="006F338C" w:rsidRPr="006F338C">
        <w:rPr>
          <w:rFonts w:ascii="Calibri" w:hAnsi="Calibri" w:cs="Calibri"/>
          <w:b/>
          <w:bCs/>
        </w:rPr>
        <w:t>multiple QFIs will not exist for an SDT application</w:t>
      </w:r>
      <w:r w:rsidR="006F338C">
        <w:rPr>
          <w:rFonts w:ascii="Calibri" w:hAnsi="Calibri" w:cs="Calibri"/>
          <w:b/>
          <w:bCs/>
        </w:rPr>
        <w:t>.</w:t>
      </w:r>
    </w:p>
    <w:p w14:paraId="0FE43FE0" w14:textId="415CEF2A" w:rsidR="00E614CF" w:rsidRPr="00E614CF" w:rsidRDefault="00E614CF" w:rsidP="00E614CF">
      <w:pPr>
        <w:rPr>
          <w:rFonts w:ascii="Calibri" w:hAnsi="Calibri" w:cs="Calibri"/>
        </w:rPr>
      </w:pPr>
      <w:r w:rsidRPr="00E614CF">
        <w:rPr>
          <w:rFonts w:ascii="Calibri" w:hAnsi="Calibri" w:cs="Calibri"/>
        </w:rPr>
        <w:t xml:space="preserve">The main concern </w:t>
      </w:r>
      <w:r>
        <w:rPr>
          <w:rFonts w:ascii="Calibri" w:hAnsi="Calibri" w:cs="Calibri"/>
        </w:rPr>
        <w:t xml:space="preserve">with the solution in Case </w:t>
      </w:r>
      <w:r w:rsidR="00556AD1">
        <w:rPr>
          <w:rFonts w:ascii="Calibri" w:hAnsi="Calibri" w:cs="Calibri"/>
        </w:rPr>
        <w:t>2.1 is</w:t>
      </w:r>
      <w:r w:rsidRPr="00E614CF">
        <w:rPr>
          <w:rFonts w:ascii="Calibri" w:hAnsi="Calibri" w:cs="Calibri"/>
        </w:rPr>
        <w:t xml:space="preserve"> related to the case when last serving gNB decides to perform only partial UE context transfer due to SDT</w:t>
      </w:r>
      <w:r w:rsidR="00556AD1">
        <w:rPr>
          <w:rFonts w:ascii="Calibri" w:hAnsi="Calibri" w:cs="Calibri"/>
        </w:rPr>
        <w:t xml:space="preserve"> as defined in TS 38.300 section 18.3</w:t>
      </w:r>
      <w:r w:rsidRPr="00E614CF">
        <w:rPr>
          <w:rFonts w:ascii="Calibri" w:hAnsi="Calibri" w:cs="Calibri"/>
        </w:rPr>
        <w:t xml:space="preserve">. If the amount of data received by the last serving gNB from CN does not fit into SDT, the last serving gNB needs to release the UE first and UE needs to resume to the receiving gNB again to trigger proper UE context transfer with data delivery. There are different proposals in RAN3 </w:t>
      </w:r>
      <w:r w:rsidR="00791323">
        <w:rPr>
          <w:rFonts w:ascii="Calibri" w:hAnsi="Calibri" w:cs="Calibri"/>
        </w:rPr>
        <w:t xml:space="preserve">and RAN2 discussed to solve this </w:t>
      </w:r>
      <w:r w:rsidR="008B2C44">
        <w:rPr>
          <w:rFonts w:ascii="Calibri" w:hAnsi="Calibri" w:cs="Calibri"/>
        </w:rPr>
        <w:t>issue [4]</w:t>
      </w:r>
      <w:r w:rsidRPr="00E614CF">
        <w:rPr>
          <w:rFonts w:ascii="Calibri" w:hAnsi="Calibri" w:cs="Calibri"/>
        </w:rPr>
        <w:t>.</w:t>
      </w:r>
      <w:r w:rsidR="008B2C44">
        <w:rPr>
          <w:rFonts w:ascii="Calibri" w:hAnsi="Calibri" w:cs="Calibri"/>
        </w:rPr>
        <w:t xml:space="preserve"> </w:t>
      </w:r>
      <w:proofErr w:type="gramStart"/>
      <w:r w:rsidR="008B2C44">
        <w:rPr>
          <w:rFonts w:ascii="Calibri" w:hAnsi="Calibri" w:cs="Calibri"/>
        </w:rPr>
        <w:t>However</w:t>
      </w:r>
      <w:proofErr w:type="gramEnd"/>
      <w:r w:rsidR="008B2C44">
        <w:rPr>
          <w:rFonts w:ascii="Calibri" w:hAnsi="Calibri" w:cs="Calibri"/>
        </w:rPr>
        <w:t xml:space="preserve"> it does not justify the costs in CN.</w:t>
      </w:r>
    </w:p>
    <w:p w14:paraId="17B30900" w14:textId="211E92C8" w:rsidR="00E614CF" w:rsidRPr="00E614CF" w:rsidRDefault="00E614CF" w:rsidP="00E614CF">
      <w:pPr>
        <w:rPr>
          <w:rFonts w:ascii="Calibri" w:hAnsi="Calibri" w:cs="Calibri"/>
        </w:rPr>
      </w:pPr>
      <w:r w:rsidRPr="00E614CF">
        <w:rPr>
          <w:rFonts w:ascii="Calibri" w:hAnsi="Calibri" w:cs="Calibri"/>
        </w:rPr>
        <w:t>Considering reporting the size of DL data packet(s) for MT-SDT is mainly targeting for infrequent communication, the reporting of the first DL data packet would be enough for most of the cases.</w:t>
      </w:r>
    </w:p>
    <w:p w14:paraId="1A5F1F51" w14:textId="77777777" w:rsidR="00AD3B1C" w:rsidRPr="00E614CF" w:rsidRDefault="00AD3B1C" w:rsidP="00AD3B1C">
      <w:pPr>
        <w:rPr>
          <w:rFonts w:ascii="Calibri" w:hAnsi="Calibri" w:cs="Calibri"/>
          <w:b/>
          <w:bCs/>
        </w:rPr>
      </w:pPr>
      <w:r w:rsidRPr="00E614CF">
        <w:rPr>
          <w:rFonts w:ascii="Calibri" w:hAnsi="Calibri" w:cs="Calibri"/>
          <w:b/>
          <w:bCs/>
        </w:rPr>
        <w:t xml:space="preserve">Proposal 1: </w:t>
      </w:r>
      <w:r w:rsidRPr="00594B99">
        <w:rPr>
          <w:rFonts w:ascii="Calibri" w:hAnsi="Calibri" w:cs="Calibri"/>
          <w:b/>
          <w:bCs/>
        </w:rPr>
        <w:t>RAN3</w:t>
      </w:r>
      <w:r w:rsidRPr="00E614CF">
        <w:rPr>
          <w:rFonts w:ascii="Calibri" w:hAnsi="Calibri" w:cs="Calibri"/>
          <w:b/>
          <w:bCs/>
        </w:rPr>
        <w:t xml:space="preserve"> concludes that CN provid</w:t>
      </w:r>
      <w:r>
        <w:rPr>
          <w:rFonts w:ascii="Calibri" w:hAnsi="Calibri" w:cs="Calibri"/>
          <w:b/>
          <w:bCs/>
        </w:rPr>
        <w:t>ing</w:t>
      </w:r>
      <w:r w:rsidRPr="00E614CF">
        <w:rPr>
          <w:rFonts w:ascii="Calibri" w:hAnsi="Calibri" w:cs="Calibri"/>
          <w:b/>
          <w:bCs/>
        </w:rPr>
        <w:t xml:space="preserve"> the </w:t>
      </w:r>
      <w:r>
        <w:rPr>
          <w:rFonts w:ascii="Calibri" w:hAnsi="Calibri" w:cs="Calibri"/>
          <w:b/>
          <w:bCs/>
        </w:rPr>
        <w:t xml:space="preserve">Data Size Information </w:t>
      </w:r>
      <w:r w:rsidRPr="00E614CF">
        <w:rPr>
          <w:rFonts w:ascii="Calibri" w:hAnsi="Calibri" w:cs="Calibri"/>
          <w:b/>
          <w:bCs/>
        </w:rPr>
        <w:t xml:space="preserve">to RAN with the value provided by UPF, based </w:t>
      </w:r>
      <w:r w:rsidRPr="00594B99">
        <w:rPr>
          <w:rFonts w:ascii="Calibri" w:hAnsi="Calibri" w:cs="Calibri"/>
          <w:b/>
          <w:bCs/>
        </w:rPr>
        <w:t xml:space="preserve">on size of first DL </w:t>
      </w:r>
      <w:r>
        <w:rPr>
          <w:rFonts w:ascii="Calibri" w:hAnsi="Calibri" w:cs="Calibri"/>
          <w:b/>
          <w:bCs/>
        </w:rPr>
        <w:t xml:space="preserve">data </w:t>
      </w:r>
      <w:r w:rsidRPr="00594B99">
        <w:rPr>
          <w:rFonts w:ascii="Calibri" w:hAnsi="Calibri" w:cs="Calibri"/>
          <w:b/>
          <w:bCs/>
        </w:rPr>
        <w:t>packet, is enough for Rel-18</w:t>
      </w:r>
      <w:r w:rsidRPr="00E614CF">
        <w:rPr>
          <w:rFonts w:ascii="Calibri" w:hAnsi="Calibri" w:cs="Calibri"/>
          <w:b/>
          <w:bCs/>
        </w:rPr>
        <w:t>.</w:t>
      </w:r>
    </w:p>
    <w:p w14:paraId="2E9A2A9A" w14:textId="20A1BF74" w:rsidR="00DE1C0A" w:rsidRDefault="00594B99" w:rsidP="00DE1C0A">
      <w:pPr>
        <w:spacing w:before="240"/>
      </w:pPr>
      <w:r>
        <w:rPr>
          <w:rFonts w:ascii="Calibri" w:hAnsi="Calibri" w:cs="Calibri"/>
        </w:rPr>
        <w:t>Regarding the size of the DL data packet</w:t>
      </w:r>
      <w:r w:rsidR="00DE1C0A">
        <w:rPr>
          <w:rFonts w:ascii="Calibri" w:hAnsi="Calibri" w:cs="Calibri"/>
        </w:rPr>
        <w:t xml:space="preserve">, </w:t>
      </w:r>
      <w:r w:rsidR="00DE1C0A" w:rsidRPr="00DE1C0A">
        <w:rPr>
          <w:rFonts w:ascii="Calibri" w:hAnsi="Calibri" w:cs="Calibri"/>
        </w:rPr>
        <w:t>TS 29.274 has defined the following data size parameter in the Downlink Data Notification message.</w:t>
      </w:r>
      <w:r w:rsidR="00DE1C0A">
        <w:t xml:space="preserve"> </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E1C0A" w14:paraId="7B3903A4" w14:textId="77777777" w:rsidTr="00CB0BE3">
        <w:trPr>
          <w:jc w:val="center"/>
        </w:trPr>
        <w:tc>
          <w:tcPr>
            <w:tcW w:w="1819" w:type="dxa"/>
            <w:tcBorders>
              <w:top w:val="single" w:sz="4" w:space="0" w:color="auto"/>
              <w:left w:val="single" w:sz="4" w:space="0" w:color="auto"/>
              <w:bottom w:val="single" w:sz="4" w:space="0" w:color="auto"/>
              <w:right w:val="single" w:sz="4" w:space="0" w:color="auto"/>
            </w:tcBorders>
          </w:tcPr>
          <w:p w14:paraId="6B6116E8" w14:textId="77777777" w:rsidR="00DE1C0A" w:rsidRDefault="00DE1C0A" w:rsidP="00CB0BE3">
            <w:pPr>
              <w:pStyle w:val="TAL"/>
              <w:rPr>
                <w:lang w:val="fr-FR"/>
              </w:rPr>
            </w:pPr>
            <w:r>
              <w:rPr>
                <w:lang w:val="fr-FR"/>
              </w:rPr>
              <w:t xml:space="preserve">DL Data </w:t>
            </w:r>
            <w:proofErr w:type="spellStart"/>
            <w:r>
              <w:rPr>
                <w:lang w:val="fr-FR"/>
              </w:rPr>
              <w:t>Packets</w:t>
            </w:r>
            <w:proofErr w:type="spellEnd"/>
            <w:r>
              <w:rPr>
                <w:lang w:val="fr-FR"/>
              </w:rPr>
              <w:t xml:space="preserve"> Size</w:t>
            </w:r>
          </w:p>
        </w:tc>
        <w:tc>
          <w:tcPr>
            <w:tcW w:w="360" w:type="dxa"/>
            <w:tcBorders>
              <w:top w:val="single" w:sz="4" w:space="0" w:color="auto"/>
              <w:left w:val="single" w:sz="4" w:space="0" w:color="auto"/>
              <w:bottom w:val="single" w:sz="4" w:space="0" w:color="auto"/>
              <w:right w:val="single" w:sz="4" w:space="0" w:color="auto"/>
            </w:tcBorders>
          </w:tcPr>
          <w:p w14:paraId="06B8AEA2" w14:textId="77777777" w:rsidR="00DE1C0A" w:rsidRDefault="00DE1C0A" w:rsidP="00CB0BE3">
            <w:pPr>
              <w:pStyle w:val="TAC"/>
              <w:rPr>
                <w:lang w:val="fr-FR"/>
              </w:rPr>
            </w:pPr>
            <w:r>
              <w:rPr>
                <w:lang w:val="fr-FR"/>
              </w:rPr>
              <w:t>CO</w:t>
            </w:r>
          </w:p>
        </w:tc>
        <w:tc>
          <w:tcPr>
            <w:tcW w:w="4773" w:type="dxa"/>
            <w:tcBorders>
              <w:top w:val="single" w:sz="4" w:space="0" w:color="auto"/>
              <w:left w:val="single" w:sz="4" w:space="0" w:color="auto"/>
              <w:bottom w:val="single" w:sz="4" w:space="0" w:color="auto"/>
              <w:right w:val="single" w:sz="4" w:space="0" w:color="auto"/>
            </w:tcBorders>
          </w:tcPr>
          <w:p w14:paraId="76102323" w14:textId="77777777" w:rsidR="00DE1C0A" w:rsidRDefault="00DE1C0A" w:rsidP="00CB0BE3">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included</w:t>
            </w:r>
            <w:proofErr w:type="spellEnd"/>
            <w:r>
              <w:rPr>
                <w:lang w:val="fr-FR" w:eastAsia="zh-CN"/>
              </w:rPr>
              <w:t xml:space="preserve"> on the S11 interfaces for a PDN </w:t>
            </w:r>
            <w:proofErr w:type="spellStart"/>
            <w:r>
              <w:rPr>
                <w:lang w:val="fr-FR" w:eastAsia="zh-CN"/>
              </w:rPr>
              <w:t>connection</w:t>
            </w:r>
            <w:proofErr w:type="spellEnd"/>
            <w:r>
              <w:rPr>
                <w:lang w:val="fr-FR" w:eastAsia="zh-CN"/>
              </w:rPr>
              <w:t xml:space="preserve"> if the MT-EDT </w:t>
            </w:r>
            <w:proofErr w:type="spellStart"/>
            <w:r>
              <w:rPr>
                <w:lang w:val="fr-FR" w:eastAsia="zh-CN"/>
              </w:rPr>
              <w:t>is</w:t>
            </w:r>
            <w:proofErr w:type="spellEnd"/>
            <w:r>
              <w:rPr>
                <w:lang w:val="fr-FR" w:eastAsia="zh-CN"/>
              </w:rPr>
              <w:t xml:space="preserve"> applicable and if the SGW supports MT-EDT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8.83.</w:t>
            </w:r>
          </w:p>
          <w:p w14:paraId="6420EEF2" w14:textId="77777777" w:rsidR="00DE1C0A" w:rsidRDefault="00DE1C0A" w:rsidP="00CB0BE3">
            <w:pPr>
              <w:pStyle w:val="TAL"/>
              <w:rPr>
                <w:lang w:val="fr-FR" w:eastAsia="zh-CN"/>
              </w:rPr>
            </w:pPr>
          </w:p>
          <w:p w14:paraId="5E7BB638" w14:textId="77777777" w:rsidR="00DE1C0A" w:rsidRDefault="00DE1C0A" w:rsidP="00CB0BE3">
            <w:pPr>
              <w:pStyle w:val="TAL"/>
              <w:rPr>
                <w:lang w:val="fr-FR" w:eastAsia="zh-CN"/>
              </w:rPr>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it</w:t>
            </w:r>
            <w:proofErr w:type="spellEnd"/>
            <w:r>
              <w:rPr>
                <w:lang w:val="fr-FR" w:eastAsia="zh-CN"/>
              </w:rPr>
              <w:t xml:space="preserv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en-US"/>
              </w:rPr>
              <w:t>the sum of DL Data Packets Size</w:t>
            </w:r>
            <w:r>
              <w:rPr>
                <w:lang w:val="fr-FR" w:eastAsia="zh-CN"/>
              </w:rPr>
              <w:t>.</w:t>
            </w:r>
          </w:p>
        </w:tc>
        <w:tc>
          <w:tcPr>
            <w:tcW w:w="1530" w:type="dxa"/>
            <w:tcBorders>
              <w:top w:val="single" w:sz="4" w:space="0" w:color="auto"/>
              <w:left w:val="single" w:sz="4" w:space="0" w:color="auto"/>
              <w:bottom w:val="single" w:sz="4" w:space="0" w:color="auto"/>
              <w:right w:val="single" w:sz="4" w:space="0" w:color="auto"/>
            </w:tcBorders>
          </w:tcPr>
          <w:p w14:paraId="4B0A694B" w14:textId="77777777" w:rsidR="00DE1C0A" w:rsidRDefault="00DE1C0A" w:rsidP="00CB0BE3">
            <w:pPr>
              <w:pStyle w:val="TAC"/>
              <w:rPr>
                <w:lang w:val="fr-FR"/>
              </w:rPr>
            </w:pPr>
            <w:r w:rsidRPr="00A50AB0">
              <w:rPr>
                <w:highlight w:val="yellow"/>
                <w:lang w:val="fr-FR"/>
              </w:rPr>
              <w:t xml:space="preserve">Integer </w:t>
            </w:r>
            <w:proofErr w:type="spellStart"/>
            <w:r w:rsidRPr="00A50AB0">
              <w:rPr>
                <w:highlight w:val="yellow"/>
                <w:lang w:val="fr-FR"/>
              </w:rPr>
              <w:t>Number</w:t>
            </w:r>
            <w:proofErr w:type="spellEnd"/>
          </w:p>
        </w:tc>
        <w:tc>
          <w:tcPr>
            <w:tcW w:w="482" w:type="dxa"/>
            <w:tcBorders>
              <w:top w:val="single" w:sz="4" w:space="0" w:color="auto"/>
              <w:left w:val="single" w:sz="4" w:space="0" w:color="auto"/>
              <w:bottom w:val="single" w:sz="4" w:space="0" w:color="auto"/>
              <w:right w:val="single" w:sz="4" w:space="0" w:color="auto"/>
            </w:tcBorders>
          </w:tcPr>
          <w:p w14:paraId="6976521D" w14:textId="77777777" w:rsidR="00DE1C0A" w:rsidRDefault="00DE1C0A" w:rsidP="00CB0BE3">
            <w:pPr>
              <w:pStyle w:val="TAC"/>
              <w:rPr>
                <w:lang w:val="fr-FR"/>
              </w:rPr>
            </w:pPr>
            <w:r>
              <w:rPr>
                <w:lang w:val="fr-FR"/>
              </w:rPr>
              <w:t>0</w:t>
            </w:r>
          </w:p>
        </w:tc>
      </w:tr>
    </w:tbl>
    <w:p w14:paraId="554D9400" w14:textId="77777777" w:rsidR="00DE1C0A" w:rsidRDefault="00DE1C0A" w:rsidP="00DE1C0A"/>
    <w:p w14:paraId="1C33B3B8" w14:textId="77777777" w:rsidR="00DE1C0A" w:rsidRPr="00742597" w:rsidRDefault="00DE1C0A" w:rsidP="00DE1C0A">
      <w:pPr>
        <w:pStyle w:val="B1"/>
        <w:ind w:firstLine="0"/>
        <w:rPr>
          <w:b/>
          <w:bCs/>
        </w:rPr>
      </w:pPr>
      <w:bookmarkStart w:id="1" w:name="_Toc19777745"/>
      <w:bookmarkStart w:id="2" w:name="_Toc27741042"/>
      <w:bookmarkStart w:id="3" w:name="_Toc36054421"/>
      <w:bookmarkStart w:id="4" w:name="_Toc44874297"/>
      <w:bookmarkStart w:id="5" w:name="_Toc51863275"/>
      <w:bookmarkStart w:id="6" w:name="_Toc57980704"/>
      <w:bookmarkStart w:id="7" w:name="_Toc120028414"/>
      <w:r w:rsidRPr="00742597">
        <w:rPr>
          <w:b/>
          <w:bCs/>
        </w:rPr>
        <w:t>8.118</w:t>
      </w:r>
      <w:r w:rsidRPr="00742597">
        <w:rPr>
          <w:b/>
          <w:bCs/>
        </w:rPr>
        <w:tab/>
        <w:t>Integer Number</w:t>
      </w:r>
      <w:bookmarkEnd w:id="1"/>
      <w:bookmarkEnd w:id="2"/>
      <w:bookmarkEnd w:id="3"/>
      <w:bookmarkEnd w:id="4"/>
      <w:bookmarkEnd w:id="5"/>
      <w:bookmarkEnd w:id="6"/>
      <w:bookmarkEnd w:id="7"/>
    </w:p>
    <w:p w14:paraId="06826D05" w14:textId="77777777" w:rsidR="00DE1C0A" w:rsidRPr="006C1437" w:rsidRDefault="00DE1C0A" w:rsidP="00DE1C0A">
      <w:pPr>
        <w:ind w:left="568"/>
      </w:pPr>
      <w:r w:rsidRPr="006C1437">
        <w:rPr>
          <w:lang w:eastAsia="zh-CN"/>
        </w:rPr>
        <w:t>Integer Number is coded as depicted in Figure 8.118-1.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DE1C0A" w:rsidRPr="006C1437" w14:paraId="157A4F59" w14:textId="77777777" w:rsidTr="00CB0BE3">
        <w:trPr>
          <w:jc w:val="center"/>
        </w:trPr>
        <w:tc>
          <w:tcPr>
            <w:tcW w:w="151" w:type="dxa"/>
            <w:tcBorders>
              <w:top w:val="single" w:sz="6" w:space="0" w:color="auto"/>
              <w:left w:val="single" w:sz="6" w:space="0" w:color="auto"/>
              <w:bottom w:val="nil"/>
            </w:tcBorders>
          </w:tcPr>
          <w:p w14:paraId="549CFDC1" w14:textId="77777777" w:rsidR="00DE1C0A" w:rsidRPr="006C1437" w:rsidRDefault="00DE1C0A" w:rsidP="00CB0BE3">
            <w:pPr>
              <w:pStyle w:val="TAC"/>
            </w:pPr>
          </w:p>
        </w:tc>
        <w:tc>
          <w:tcPr>
            <w:tcW w:w="1104" w:type="dxa"/>
          </w:tcPr>
          <w:p w14:paraId="25BFC402" w14:textId="77777777" w:rsidR="00DE1C0A" w:rsidRPr="006C1437" w:rsidRDefault="00DE1C0A" w:rsidP="00CB0BE3">
            <w:pPr>
              <w:pStyle w:val="TAH"/>
            </w:pPr>
          </w:p>
        </w:tc>
        <w:tc>
          <w:tcPr>
            <w:tcW w:w="4703" w:type="dxa"/>
            <w:gridSpan w:val="8"/>
          </w:tcPr>
          <w:p w14:paraId="48CF53F9" w14:textId="77777777" w:rsidR="00DE1C0A" w:rsidRPr="006C1437" w:rsidRDefault="00DE1C0A" w:rsidP="00CB0BE3">
            <w:pPr>
              <w:pStyle w:val="TAH"/>
            </w:pPr>
            <w:r w:rsidRPr="006C1437">
              <w:t>Bits</w:t>
            </w:r>
          </w:p>
        </w:tc>
        <w:tc>
          <w:tcPr>
            <w:tcW w:w="588" w:type="dxa"/>
          </w:tcPr>
          <w:p w14:paraId="54D549BA" w14:textId="77777777" w:rsidR="00DE1C0A" w:rsidRPr="006C1437" w:rsidRDefault="00DE1C0A" w:rsidP="00CB0BE3">
            <w:pPr>
              <w:pStyle w:val="TAC"/>
            </w:pPr>
          </w:p>
        </w:tc>
      </w:tr>
      <w:tr w:rsidR="00DE1C0A" w:rsidRPr="006C1437" w14:paraId="49799566" w14:textId="77777777" w:rsidTr="00CB0BE3">
        <w:trPr>
          <w:jc w:val="center"/>
        </w:trPr>
        <w:tc>
          <w:tcPr>
            <w:tcW w:w="151" w:type="dxa"/>
            <w:tcBorders>
              <w:top w:val="nil"/>
              <w:left w:val="single" w:sz="6" w:space="0" w:color="auto"/>
            </w:tcBorders>
          </w:tcPr>
          <w:p w14:paraId="1042B698" w14:textId="77777777" w:rsidR="00DE1C0A" w:rsidRPr="006C1437" w:rsidRDefault="00DE1C0A" w:rsidP="00CB0BE3">
            <w:pPr>
              <w:pStyle w:val="TAC"/>
            </w:pPr>
          </w:p>
        </w:tc>
        <w:tc>
          <w:tcPr>
            <w:tcW w:w="1104" w:type="dxa"/>
          </w:tcPr>
          <w:p w14:paraId="6A638D9A" w14:textId="77777777" w:rsidR="00DE1C0A" w:rsidRPr="006C1437" w:rsidRDefault="00DE1C0A" w:rsidP="00CB0BE3">
            <w:pPr>
              <w:pStyle w:val="TAH"/>
            </w:pPr>
            <w:r w:rsidRPr="006C1437">
              <w:t>Octets</w:t>
            </w:r>
          </w:p>
        </w:tc>
        <w:tc>
          <w:tcPr>
            <w:tcW w:w="587" w:type="dxa"/>
            <w:tcBorders>
              <w:bottom w:val="single" w:sz="4" w:space="0" w:color="auto"/>
            </w:tcBorders>
          </w:tcPr>
          <w:p w14:paraId="083C497B" w14:textId="77777777" w:rsidR="00DE1C0A" w:rsidRPr="006C1437" w:rsidRDefault="00DE1C0A" w:rsidP="00CB0BE3">
            <w:pPr>
              <w:pStyle w:val="TAH"/>
            </w:pPr>
            <w:r w:rsidRPr="006C1437">
              <w:t>8</w:t>
            </w:r>
          </w:p>
        </w:tc>
        <w:tc>
          <w:tcPr>
            <w:tcW w:w="588" w:type="dxa"/>
            <w:tcBorders>
              <w:bottom w:val="single" w:sz="4" w:space="0" w:color="auto"/>
            </w:tcBorders>
          </w:tcPr>
          <w:p w14:paraId="0BDBA2D1" w14:textId="77777777" w:rsidR="00DE1C0A" w:rsidRPr="006C1437" w:rsidRDefault="00DE1C0A" w:rsidP="00CB0BE3">
            <w:pPr>
              <w:pStyle w:val="TAH"/>
            </w:pPr>
            <w:r w:rsidRPr="006C1437">
              <w:t>7</w:t>
            </w:r>
          </w:p>
        </w:tc>
        <w:tc>
          <w:tcPr>
            <w:tcW w:w="588" w:type="dxa"/>
            <w:tcBorders>
              <w:bottom w:val="single" w:sz="4" w:space="0" w:color="auto"/>
            </w:tcBorders>
          </w:tcPr>
          <w:p w14:paraId="0401E912" w14:textId="77777777" w:rsidR="00DE1C0A" w:rsidRPr="006C1437" w:rsidRDefault="00DE1C0A" w:rsidP="00CB0BE3">
            <w:pPr>
              <w:pStyle w:val="TAH"/>
            </w:pPr>
            <w:r w:rsidRPr="006C1437">
              <w:t>6</w:t>
            </w:r>
          </w:p>
        </w:tc>
        <w:tc>
          <w:tcPr>
            <w:tcW w:w="588" w:type="dxa"/>
            <w:tcBorders>
              <w:bottom w:val="single" w:sz="4" w:space="0" w:color="auto"/>
            </w:tcBorders>
          </w:tcPr>
          <w:p w14:paraId="58571368" w14:textId="77777777" w:rsidR="00DE1C0A" w:rsidRPr="006C1437" w:rsidRDefault="00DE1C0A" w:rsidP="00CB0BE3">
            <w:pPr>
              <w:pStyle w:val="TAH"/>
            </w:pPr>
            <w:r w:rsidRPr="006C1437">
              <w:t>5</w:t>
            </w:r>
          </w:p>
        </w:tc>
        <w:tc>
          <w:tcPr>
            <w:tcW w:w="587" w:type="dxa"/>
            <w:tcBorders>
              <w:bottom w:val="single" w:sz="4" w:space="0" w:color="auto"/>
            </w:tcBorders>
          </w:tcPr>
          <w:p w14:paraId="1F905BA5" w14:textId="77777777" w:rsidR="00DE1C0A" w:rsidRPr="006C1437" w:rsidRDefault="00DE1C0A" w:rsidP="00CB0BE3">
            <w:pPr>
              <w:pStyle w:val="TAH"/>
            </w:pPr>
            <w:r w:rsidRPr="006C1437">
              <w:t>4</w:t>
            </w:r>
          </w:p>
        </w:tc>
        <w:tc>
          <w:tcPr>
            <w:tcW w:w="588" w:type="dxa"/>
            <w:tcBorders>
              <w:bottom w:val="single" w:sz="4" w:space="0" w:color="auto"/>
            </w:tcBorders>
          </w:tcPr>
          <w:p w14:paraId="00187AC6" w14:textId="77777777" w:rsidR="00DE1C0A" w:rsidRPr="006C1437" w:rsidRDefault="00DE1C0A" w:rsidP="00CB0BE3">
            <w:pPr>
              <w:pStyle w:val="TAH"/>
            </w:pPr>
            <w:r w:rsidRPr="006C1437">
              <w:t>3</w:t>
            </w:r>
          </w:p>
        </w:tc>
        <w:tc>
          <w:tcPr>
            <w:tcW w:w="588" w:type="dxa"/>
            <w:tcBorders>
              <w:bottom w:val="single" w:sz="4" w:space="0" w:color="auto"/>
            </w:tcBorders>
          </w:tcPr>
          <w:p w14:paraId="462AA963" w14:textId="77777777" w:rsidR="00DE1C0A" w:rsidRPr="006C1437" w:rsidRDefault="00DE1C0A" w:rsidP="00CB0BE3">
            <w:pPr>
              <w:pStyle w:val="TAH"/>
            </w:pPr>
            <w:r w:rsidRPr="006C1437">
              <w:t>2</w:t>
            </w:r>
          </w:p>
        </w:tc>
        <w:tc>
          <w:tcPr>
            <w:tcW w:w="589" w:type="dxa"/>
            <w:tcBorders>
              <w:bottom w:val="single" w:sz="4" w:space="0" w:color="auto"/>
            </w:tcBorders>
          </w:tcPr>
          <w:p w14:paraId="6DB1224A" w14:textId="77777777" w:rsidR="00DE1C0A" w:rsidRPr="006C1437" w:rsidRDefault="00DE1C0A" w:rsidP="00CB0BE3">
            <w:pPr>
              <w:pStyle w:val="TAH"/>
            </w:pPr>
            <w:r w:rsidRPr="006C1437">
              <w:t>1</w:t>
            </w:r>
          </w:p>
        </w:tc>
        <w:tc>
          <w:tcPr>
            <w:tcW w:w="588" w:type="dxa"/>
          </w:tcPr>
          <w:p w14:paraId="3F7D6ADE" w14:textId="77777777" w:rsidR="00DE1C0A" w:rsidRPr="006C1437" w:rsidRDefault="00DE1C0A" w:rsidP="00CB0BE3">
            <w:pPr>
              <w:pStyle w:val="TAC"/>
            </w:pPr>
          </w:p>
        </w:tc>
      </w:tr>
      <w:tr w:rsidR="00DE1C0A" w:rsidRPr="006C1437" w14:paraId="2BA8A693" w14:textId="77777777" w:rsidTr="00CB0BE3">
        <w:trPr>
          <w:jc w:val="center"/>
        </w:trPr>
        <w:tc>
          <w:tcPr>
            <w:tcW w:w="151" w:type="dxa"/>
            <w:tcBorders>
              <w:top w:val="nil"/>
              <w:left w:val="single" w:sz="6" w:space="0" w:color="auto"/>
            </w:tcBorders>
          </w:tcPr>
          <w:p w14:paraId="58654039" w14:textId="77777777" w:rsidR="00DE1C0A" w:rsidRPr="006C1437" w:rsidRDefault="00DE1C0A" w:rsidP="00CB0BE3">
            <w:pPr>
              <w:pStyle w:val="TAC"/>
            </w:pPr>
          </w:p>
        </w:tc>
        <w:tc>
          <w:tcPr>
            <w:tcW w:w="1104" w:type="dxa"/>
            <w:tcBorders>
              <w:right w:val="single" w:sz="4" w:space="0" w:color="auto"/>
            </w:tcBorders>
          </w:tcPr>
          <w:p w14:paraId="3F5DA033" w14:textId="77777777" w:rsidR="00DE1C0A" w:rsidRPr="006C1437" w:rsidRDefault="00DE1C0A" w:rsidP="00CB0BE3">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05D7A809" w14:textId="77777777" w:rsidR="00DE1C0A" w:rsidRPr="006C1437" w:rsidRDefault="00DE1C0A" w:rsidP="00CB0BE3">
            <w:pPr>
              <w:pStyle w:val="TAC"/>
            </w:pPr>
            <w:r w:rsidRPr="006C1437">
              <w:t>Type</w:t>
            </w:r>
            <w:r>
              <w:t xml:space="preserve"> </w:t>
            </w:r>
            <w:r w:rsidRPr="006C1437">
              <w:t>=</w:t>
            </w:r>
            <w:r>
              <w:t xml:space="preserve"> </w:t>
            </w:r>
            <w:r w:rsidRPr="006C1437">
              <w:rPr>
                <w:lang w:eastAsia="zh-CN"/>
              </w:rPr>
              <w:t>187</w:t>
            </w:r>
            <w:r>
              <w:rPr>
                <w:lang w:eastAsia="zh-CN"/>
              </w:rPr>
              <w:t xml:space="preserve"> </w:t>
            </w:r>
            <w:r w:rsidRPr="006C1437">
              <w:t>(decimal)</w:t>
            </w:r>
          </w:p>
        </w:tc>
        <w:tc>
          <w:tcPr>
            <w:tcW w:w="588" w:type="dxa"/>
            <w:tcBorders>
              <w:left w:val="single" w:sz="4" w:space="0" w:color="auto"/>
            </w:tcBorders>
          </w:tcPr>
          <w:p w14:paraId="3D561D23" w14:textId="77777777" w:rsidR="00DE1C0A" w:rsidRPr="006C1437" w:rsidRDefault="00DE1C0A" w:rsidP="00CB0BE3">
            <w:pPr>
              <w:pStyle w:val="TAC"/>
            </w:pPr>
          </w:p>
        </w:tc>
      </w:tr>
      <w:tr w:rsidR="00DE1C0A" w:rsidRPr="006C1437" w14:paraId="707078A8" w14:textId="77777777" w:rsidTr="00CB0BE3">
        <w:trPr>
          <w:jc w:val="center"/>
        </w:trPr>
        <w:tc>
          <w:tcPr>
            <w:tcW w:w="151" w:type="dxa"/>
            <w:tcBorders>
              <w:top w:val="nil"/>
              <w:left w:val="single" w:sz="6" w:space="0" w:color="auto"/>
            </w:tcBorders>
          </w:tcPr>
          <w:p w14:paraId="000B2D99" w14:textId="77777777" w:rsidR="00DE1C0A" w:rsidRPr="006C1437" w:rsidRDefault="00DE1C0A" w:rsidP="00CB0BE3">
            <w:pPr>
              <w:pStyle w:val="TAC"/>
            </w:pPr>
          </w:p>
        </w:tc>
        <w:tc>
          <w:tcPr>
            <w:tcW w:w="1104" w:type="dxa"/>
            <w:tcBorders>
              <w:right w:val="single" w:sz="4" w:space="0" w:color="auto"/>
            </w:tcBorders>
          </w:tcPr>
          <w:p w14:paraId="47E0F20A" w14:textId="77777777" w:rsidR="00DE1C0A" w:rsidRPr="006C1437" w:rsidRDefault="00DE1C0A" w:rsidP="00CB0BE3">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BB250F6" w14:textId="77777777" w:rsidR="00DE1C0A" w:rsidRPr="006C1437" w:rsidRDefault="00DE1C0A" w:rsidP="00CB0BE3">
            <w:pPr>
              <w:pStyle w:val="TAC"/>
            </w:pPr>
            <w:r w:rsidRPr="006C1437">
              <w:t>Length</w:t>
            </w:r>
            <w:r>
              <w:t xml:space="preserve"> </w:t>
            </w:r>
            <w:r w:rsidRPr="006C1437">
              <w:t>=</w:t>
            </w:r>
            <w:r>
              <w:t xml:space="preserve"> </w:t>
            </w:r>
            <w:r w:rsidRPr="006C1437">
              <w:rPr>
                <w:lang w:eastAsia="zh-CN"/>
              </w:rPr>
              <w:t>n</w:t>
            </w:r>
          </w:p>
        </w:tc>
        <w:tc>
          <w:tcPr>
            <w:tcW w:w="588" w:type="dxa"/>
            <w:tcBorders>
              <w:left w:val="single" w:sz="4" w:space="0" w:color="auto"/>
            </w:tcBorders>
          </w:tcPr>
          <w:p w14:paraId="22D8C0FD" w14:textId="77777777" w:rsidR="00DE1C0A" w:rsidRPr="006C1437" w:rsidRDefault="00DE1C0A" w:rsidP="00CB0BE3">
            <w:pPr>
              <w:pStyle w:val="TAC"/>
            </w:pPr>
          </w:p>
        </w:tc>
      </w:tr>
      <w:tr w:rsidR="00DE1C0A" w:rsidRPr="006C1437" w14:paraId="466B51A8" w14:textId="77777777" w:rsidTr="00CB0BE3">
        <w:trPr>
          <w:jc w:val="center"/>
        </w:trPr>
        <w:tc>
          <w:tcPr>
            <w:tcW w:w="151" w:type="dxa"/>
            <w:tcBorders>
              <w:top w:val="nil"/>
              <w:left w:val="single" w:sz="6" w:space="0" w:color="auto"/>
              <w:bottom w:val="nil"/>
            </w:tcBorders>
          </w:tcPr>
          <w:p w14:paraId="25D1C190" w14:textId="77777777" w:rsidR="00DE1C0A" w:rsidRPr="006C1437" w:rsidRDefault="00DE1C0A" w:rsidP="00CB0BE3">
            <w:pPr>
              <w:pStyle w:val="TAC"/>
            </w:pPr>
          </w:p>
        </w:tc>
        <w:tc>
          <w:tcPr>
            <w:tcW w:w="1104" w:type="dxa"/>
            <w:tcBorders>
              <w:bottom w:val="nil"/>
              <w:right w:val="single" w:sz="4" w:space="0" w:color="auto"/>
            </w:tcBorders>
          </w:tcPr>
          <w:p w14:paraId="7AFB86F4" w14:textId="77777777" w:rsidR="00DE1C0A" w:rsidRPr="006C1437" w:rsidRDefault="00DE1C0A" w:rsidP="00CB0BE3">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E753016" w14:textId="77777777" w:rsidR="00DE1C0A" w:rsidRPr="006C1437" w:rsidRDefault="00DE1C0A" w:rsidP="00CB0BE3">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0C26FC5" w14:textId="77777777" w:rsidR="00DE1C0A" w:rsidRPr="006C1437" w:rsidRDefault="00DE1C0A" w:rsidP="00CB0BE3">
            <w:pPr>
              <w:pStyle w:val="TAC"/>
            </w:pPr>
            <w:r w:rsidRPr="006C1437">
              <w:t>Instance</w:t>
            </w:r>
          </w:p>
        </w:tc>
        <w:tc>
          <w:tcPr>
            <w:tcW w:w="588" w:type="dxa"/>
            <w:tcBorders>
              <w:left w:val="single" w:sz="4" w:space="0" w:color="auto"/>
              <w:bottom w:val="nil"/>
            </w:tcBorders>
          </w:tcPr>
          <w:p w14:paraId="0E469FC0" w14:textId="77777777" w:rsidR="00DE1C0A" w:rsidRPr="006C1437" w:rsidRDefault="00DE1C0A" w:rsidP="00CB0BE3">
            <w:pPr>
              <w:pStyle w:val="TAC"/>
            </w:pPr>
          </w:p>
        </w:tc>
      </w:tr>
      <w:tr w:rsidR="00DE1C0A" w:rsidRPr="006C1437" w14:paraId="5A880DF1" w14:textId="77777777" w:rsidTr="00CB0BE3">
        <w:trPr>
          <w:jc w:val="center"/>
        </w:trPr>
        <w:tc>
          <w:tcPr>
            <w:tcW w:w="151" w:type="dxa"/>
            <w:tcBorders>
              <w:top w:val="nil"/>
              <w:left w:val="single" w:sz="6" w:space="0" w:color="auto"/>
            </w:tcBorders>
          </w:tcPr>
          <w:p w14:paraId="1E2869C2" w14:textId="77777777" w:rsidR="00DE1C0A" w:rsidRPr="006C1437" w:rsidRDefault="00DE1C0A" w:rsidP="00CB0BE3">
            <w:pPr>
              <w:pStyle w:val="TAC"/>
            </w:pPr>
          </w:p>
        </w:tc>
        <w:tc>
          <w:tcPr>
            <w:tcW w:w="1104" w:type="dxa"/>
            <w:tcBorders>
              <w:right w:val="single" w:sz="4" w:space="0" w:color="auto"/>
            </w:tcBorders>
          </w:tcPr>
          <w:p w14:paraId="0F6DF525" w14:textId="77777777" w:rsidR="00DE1C0A" w:rsidRPr="006C1437" w:rsidRDefault="00DE1C0A" w:rsidP="00CB0BE3">
            <w:pPr>
              <w:pStyle w:val="TAC"/>
              <w:rPr>
                <w:lang w:eastAsia="zh-CN"/>
              </w:rPr>
            </w:pPr>
            <w:r w:rsidRPr="006C1437">
              <w:rPr>
                <w:lang w:eastAsia="zh-CN"/>
              </w:rPr>
              <w:t>5</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4" w:space="0" w:color="auto"/>
              <w:right w:val="single" w:sz="4" w:space="0" w:color="auto"/>
            </w:tcBorders>
          </w:tcPr>
          <w:p w14:paraId="086252BA" w14:textId="77777777" w:rsidR="00DE1C0A" w:rsidRPr="006C1437" w:rsidRDefault="00DE1C0A" w:rsidP="00CB0BE3">
            <w:pPr>
              <w:pStyle w:val="TAC"/>
              <w:rPr>
                <w:lang w:eastAsia="zh-CN"/>
              </w:rPr>
            </w:pPr>
            <w:r w:rsidRPr="006C1437">
              <w:rPr>
                <w:lang w:eastAsia="zh-CN"/>
              </w:rPr>
              <w:t>Integer</w:t>
            </w:r>
            <w:r>
              <w:rPr>
                <w:lang w:eastAsia="zh-CN"/>
              </w:rPr>
              <w:t xml:space="preserve"> </w:t>
            </w:r>
            <w:r w:rsidRPr="006C1437">
              <w:rPr>
                <w:lang w:eastAsia="zh-CN"/>
              </w:rPr>
              <w:t>Number</w:t>
            </w:r>
            <w:r>
              <w:rPr>
                <w:lang w:eastAsia="zh-CN"/>
              </w:rPr>
              <w:t xml:space="preserve"> </w:t>
            </w:r>
            <w:r w:rsidRPr="006C1437">
              <w:rPr>
                <w:lang w:eastAsia="zh-CN"/>
              </w:rPr>
              <w:t>Value</w:t>
            </w:r>
          </w:p>
        </w:tc>
        <w:tc>
          <w:tcPr>
            <w:tcW w:w="588" w:type="dxa"/>
            <w:tcBorders>
              <w:left w:val="single" w:sz="4" w:space="0" w:color="auto"/>
            </w:tcBorders>
          </w:tcPr>
          <w:p w14:paraId="3F0C6B95" w14:textId="77777777" w:rsidR="00DE1C0A" w:rsidRPr="006C1437" w:rsidRDefault="00DE1C0A" w:rsidP="00CB0BE3">
            <w:pPr>
              <w:pStyle w:val="TAC"/>
            </w:pPr>
          </w:p>
        </w:tc>
      </w:tr>
    </w:tbl>
    <w:p w14:paraId="308BB616" w14:textId="77777777" w:rsidR="00DE1C0A" w:rsidRPr="006C1437" w:rsidRDefault="00DE1C0A" w:rsidP="00DE1C0A">
      <w:pPr>
        <w:pStyle w:val="TF"/>
        <w:spacing w:before="120"/>
        <w:ind w:left="568"/>
        <w:rPr>
          <w:lang w:eastAsia="zh-CN"/>
        </w:rPr>
      </w:pPr>
      <w:r w:rsidRPr="006C1437">
        <w:t>Figure 8.118</w:t>
      </w:r>
      <w:r w:rsidRPr="006C1437">
        <w:rPr>
          <w:lang w:eastAsia="zh-CN"/>
        </w:rPr>
        <w:t>-1</w:t>
      </w:r>
      <w:r w:rsidRPr="006C1437">
        <w:t xml:space="preserve">: </w:t>
      </w:r>
      <w:r w:rsidRPr="006C1437">
        <w:rPr>
          <w:lang w:eastAsia="zh-CN"/>
        </w:rPr>
        <w:t>Integer Number</w:t>
      </w:r>
    </w:p>
    <w:p w14:paraId="7AD5342B" w14:textId="2189608A" w:rsidR="00DE1C0A" w:rsidRPr="00DE1C0A" w:rsidRDefault="00DE1C0A" w:rsidP="00DE1C0A">
      <w:pPr>
        <w:spacing w:before="240"/>
        <w:rPr>
          <w:rFonts w:ascii="Calibri" w:hAnsi="Calibri" w:cs="Calibri"/>
        </w:rPr>
      </w:pPr>
      <w:r w:rsidRPr="00DE1C0A">
        <w:rPr>
          <w:rFonts w:ascii="Calibri" w:hAnsi="Calibri" w:cs="Calibri"/>
        </w:rPr>
        <w:t xml:space="preserve">The Integer Number value is encoded with the number of octets defined in the Length field, </w:t>
      </w:r>
      <w:proofErr w:type="gramStart"/>
      <w:r w:rsidRPr="00DE1C0A">
        <w:rPr>
          <w:rFonts w:ascii="Calibri" w:hAnsi="Calibri" w:cs="Calibri"/>
        </w:rPr>
        <w:t>e.g.</w:t>
      </w:r>
      <w:proofErr w:type="gramEnd"/>
      <w:r w:rsidRPr="00DE1C0A">
        <w:rPr>
          <w:rFonts w:ascii="Calibri" w:hAnsi="Calibri" w:cs="Calibri"/>
        </w:rPr>
        <w:t xml:space="preserve"> when n=2, the range of the integer number value is from 0 to 65535</w:t>
      </w:r>
      <w:r>
        <w:rPr>
          <w:rFonts w:ascii="Calibri" w:hAnsi="Calibri" w:cs="Calibri"/>
        </w:rPr>
        <w:t xml:space="preserve"> bytes</w:t>
      </w:r>
      <w:r w:rsidRPr="00DE1C0A">
        <w:rPr>
          <w:rFonts w:ascii="Calibri" w:hAnsi="Calibri" w:cs="Calibri"/>
        </w:rPr>
        <w:t>.</w:t>
      </w:r>
    </w:p>
    <w:p w14:paraId="4894C08F" w14:textId="0363B673" w:rsidR="00594B99" w:rsidRPr="00DE1C0A" w:rsidRDefault="00DE1C0A" w:rsidP="00605A3A">
      <w:pPr>
        <w:spacing w:before="240"/>
        <w:rPr>
          <w:rFonts w:ascii="Calibri" w:hAnsi="Calibri" w:cs="Calibri"/>
          <w:b/>
          <w:bCs/>
        </w:rPr>
      </w:pPr>
      <w:r w:rsidRPr="00DE1C0A">
        <w:rPr>
          <w:rFonts w:ascii="Calibri" w:hAnsi="Calibri" w:cs="Calibri"/>
          <w:b/>
          <w:bCs/>
        </w:rPr>
        <w:t xml:space="preserve">Observation </w:t>
      </w:r>
      <w:proofErr w:type="gramStart"/>
      <w:r w:rsidRPr="00DE1C0A">
        <w:rPr>
          <w:rFonts w:ascii="Calibri" w:hAnsi="Calibri" w:cs="Calibri"/>
          <w:b/>
          <w:bCs/>
        </w:rPr>
        <w:t>3 :</w:t>
      </w:r>
      <w:proofErr w:type="gramEnd"/>
      <w:r w:rsidRPr="00DE1C0A">
        <w:rPr>
          <w:rFonts w:ascii="Calibri" w:hAnsi="Calibri" w:cs="Calibri"/>
          <w:b/>
          <w:bCs/>
        </w:rPr>
        <w:t xml:space="preserve"> The value range pf the DL Data Packet size is from 0 to 65535 bytes</w:t>
      </w:r>
    </w:p>
    <w:p w14:paraId="66EC4733" w14:textId="1CCBF0C7" w:rsidR="0029450E" w:rsidRDefault="00DE1C0A" w:rsidP="0029450E">
      <w:pPr>
        <w:spacing w:before="240"/>
        <w:rPr>
          <w:rFonts w:ascii="Calibri" w:hAnsi="Calibri" w:cs="Calibri"/>
        </w:rPr>
      </w:pPr>
      <w:r>
        <w:rPr>
          <w:rFonts w:ascii="Calibri" w:hAnsi="Calibri" w:cs="Calibri"/>
        </w:rPr>
        <w:t xml:space="preserve">Considering that </w:t>
      </w:r>
      <w:r w:rsidR="009E287E">
        <w:rPr>
          <w:rFonts w:ascii="Calibri" w:hAnsi="Calibri" w:cs="Calibri"/>
        </w:rPr>
        <w:t xml:space="preserve">the </w:t>
      </w:r>
      <w:r>
        <w:rPr>
          <w:rFonts w:ascii="Calibri" w:hAnsi="Calibri" w:cs="Calibri"/>
        </w:rPr>
        <w:t>MT-SDT data threshold is 96000 bytes,</w:t>
      </w:r>
      <w:r w:rsidR="00F46BBB">
        <w:rPr>
          <w:rFonts w:ascii="Calibri" w:hAnsi="Calibri" w:cs="Calibri"/>
        </w:rPr>
        <w:t xml:space="preserve"> the </w:t>
      </w:r>
      <w:r w:rsidR="00F46BBB" w:rsidRPr="009E287E">
        <w:rPr>
          <w:rFonts w:ascii="Calibri" w:hAnsi="Calibri" w:cs="Calibri"/>
        </w:rPr>
        <w:t>DL Data Packet size will always fall below the maximum threshold value</w:t>
      </w:r>
      <w:r w:rsidR="009E287E">
        <w:rPr>
          <w:rFonts w:ascii="Calibri" w:hAnsi="Calibri" w:cs="Calibri"/>
        </w:rPr>
        <w:t>. B</w:t>
      </w:r>
      <w:r w:rsidR="009E287E" w:rsidRPr="009E287E">
        <w:rPr>
          <w:rFonts w:ascii="Calibri" w:hAnsi="Calibri" w:cs="Calibri"/>
        </w:rPr>
        <w:t>ut</w:t>
      </w:r>
      <w:r w:rsidR="00F46BBB" w:rsidRPr="009E287E">
        <w:rPr>
          <w:rFonts w:ascii="Calibri" w:hAnsi="Calibri" w:cs="Calibri"/>
        </w:rPr>
        <w:t xml:space="preserve"> in our view, this will not </w:t>
      </w:r>
      <w:r w:rsidR="009E287E" w:rsidRPr="009E287E">
        <w:rPr>
          <w:rFonts w:ascii="Calibri" w:hAnsi="Calibri" w:cs="Calibri"/>
        </w:rPr>
        <w:t>happen</w:t>
      </w:r>
      <w:r w:rsidR="00F46BBB" w:rsidRPr="009E287E">
        <w:rPr>
          <w:rFonts w:ascii="Calibri" w:hAnsi="Calibri" w:cs="Calibri"/>
        </w:rPr>
        <w:t xml:space="preserve"> frequently, as perhaps a value higher than </w:t>
      </w:r>
      <w:r w:rsidR="00F46BBB">
        <w:rPr>
          <w:rFonts w:ascii="Calibri" w:hAnsi="Calibri" w:cs="Calibri"/>
        </w:rPr>
        <w:t xml:space="preserve">65535 </w:t>
      </w:r>
      <w:proofErr w:type="gramStart"/>
      <w:r w:rsidR="00F46BBB">
        <w:rPr>
          <w:rFonts w:ascii="Calibri" w:hAnsi="Calibri" w:cs="Calibri"/>
        </w:rPr>
        <w:t>byte</w:t>
      </w:r>
      <w:proofErr w:type="gramEnd"/>
      <w:r w:rsidR="00F46BBB">
        <w:rPr>
          <w:rFonts w:ascii="Calibri" w:hAnsi="Calibri" w:cs="Calibri"/>
        </w:rPr>
        <w:t xml:space="preserve"> </w:t>
      </w:r>
      <w:r w:rsidR="009E287E">
        <w:rPr>
          <w:rFonts w:ascii="Calibri" w:hAnsi="Calibri" w:cs="Calibri"/>
        </w:rPr>
        <w:t>in the first packet DL data size, can already indicate that SDT may not work well, and be used by RAN to trigger legacy RAN paging</w:t>
      </w:r>
      <w:r w:rsidR="004D4237">
        <w:rPr>
          <w:rFonts w:ascii="Calibri" w:hAnsi="Calibri" w:cs="Calibri"/>
        </w:rPr>
        <w:t xml:space="preserve"> instead of MT-SDT</w:t>
      </w:r>
      <w:r w:rsidR="009E287E">
        <w:rPr>
          <w:rFonts w:ascii="Calibri" w:hAnsi="Calibri" w:cs="Calibri"/>
        </w:rPr>
        <w:t>.</w:t>
      </w:r>
    </w:p>
    <w:p w14:paraId="5F5AC95D" w14:textId="32C7F1C3" w:rsidR="00E25AE6" w:rsidRDefault="00E25AE6" w:rsidP="0029450E">
      <w:pPr>
        <w:spacing w:before="240"/>
        <w:rPr>
          <w:rFonts w:ascii="Calibri" w:hAnsi="Calibri" w:cs="Calibri"/>
          <w:b/>
          <w:bCs/>
        </w:rPr>
      </w:pPr>
      <w:r w:rsidRPr="00B10ADC">
        <w:rPr>
          <w:rFonts w:ascii="Calibri" w:hAnsi="Calibri" w:cs="Calibri"/>
          <w:b/>
          <w:bCs/>
        </w:rPr>
        <w:lastRenderedPageBreak/>
        <w:t xml:space="preserve">Observation </w:t>
      </w:r>
      <w:proofErr w:type="gramStart"/>
      <w:r w:rsidRPr="00B10ADC">
        <w:rPr>
          <w:rFonts w:ascii="Calibri" w:hAnsi="Calibri" w:cs="Calibri"/>
          <w:b/>
          <w:bCs/>
        </w:rPr>
        <w:t>4 :</w:t>
      </w:r>
      <w:proofErr w:type="gramEnd"/>
      <w:r w:rsidRPr="00B10ADC">
        <w:rPr>
          <w:rFonts w:ascii="Calibri" w:hAnsi="Calibri" w:cs="Calibri"/>
          <w:b/>
          <w:bCs/>
        </w:rPr>
        <w:t xml:space="preserve"> The NG-RAN may decide to perform legacy RAN paging for data size higher than 65535 bytes </w:t>
      </w:r>
      <w:r w:rsidR="00B10ADC" w:rsidRPr="00B10ADC">
        <w:rPr>
          <w:rFonts w:ascii="Calibri" w:hAnsi="Calibri" w:cs="Calibri"/>
          <w:b/>
          <w:bCs/>
        </w:rPr>
        <w:t>for a first DL Data packet</w:t>
      </w:r>
      <w:r w:rsidR="00B10ADC">
        <w:rPr>
          <w:rFonts w:ascii="Calibri" w:hAnsi="Calibri" w:cs="Calibri"/>
          <w:b/>
          <w:bCs/>
        </w:rPr>
        <w:t>.</w:t>
      </w:r>
    </w:p>
    <w:p w14:paraId="02B70B61" w14:textId="509A1D39" w:rsidR="00B10ADC" w:rsidRDefault="00B10ADC" w:rsidP="0029450E">
      <w:pPr>
        <w:spacing w:before="240"/>
        <w:rPr>
          <w:rFonts w:ascii="Calibri" w:hAnsi="Calibri" w:cs="Calibri"/>
          <w:b/>
          <w:bCs/>
        </w:rPr>
      </w:pPr>
      <w:r>
        <w:rPr>
          <w:rFonts w:ascii="Calibri" w:hAnsi="Calibri" w:cs="Calibri"/>
          <w:b/>
          <w:bCs/>
        </w:rPr>
        <w:t xml:space="preserve">Proposal 2: Introduce a Data Size Information that includes the first DL packet data size encoded as </w:t>
      </w:r>
      <w:proofErr w:type="gramStart"/>
      <w:r>
        <w:rPr>
          <w:rFonts w:ascii="Calibri" w:hAnsi="Calibri" w:cs="Calibri"/>
          <w:b/>
          <w:bCs/>
        </w:rPr>
        <w:t>INTEGER(</w:t>
      </w:r>
      <w:proofErr w:type="gramEnd"/>
      <w:r>
        <w:rPr>
          <w:rFonts w:ascii="Calibri" w:hAnsi="Calibri" w:cs="Calibri"/>
          <w:b/>
          <w:bCs/>
        </w:rPr>
        <w:t>0..65535,…) in the RAN PAGING REQUEST message.</w:t>
      </w:r>
    </w:p>
    <w:p w14:paraId="206B8D08" w14:textId="104E614C" w:rsidR="00C67886" w:rsidRDefault="00C67886" w:rsidP="0029450E">
      <w:pPr>
        <w:spacing w:before="240"/>
        <w:rPr>
          <w:rFonts w:ascii="Calibri" w:hAnsi="Calibri" w:cs="Calibri"/>
          <w:b/>
          <w:bCs/>
        </w:rPr>
      </w:pPr>
      <w:r>
        <w:rPr>
          <w:rFonts w:ascii="Calibri" w:hAnsi="Calibri" w:cs="Calibri"/>
          <w:b/>
          <w:bCs/>
        </w:rPr>
        <w:t>A TP to NGAP BL CR with options for down selection is available in [5]</w:t>
      </w:r>
    </w:p>
    <w:p w14:paraId="07C0AF19" w14:textId="1AB991D6" w:rsidR="00B10ADC" w:rsidRDefault="00B10ADC" w:rsidP="00B10ADC">
      <w:pPr>
        <w:pStyle w:val="Heading1"/>
        <w:tabs>
          <w:tab w:val="left" w:pos="432"/>
        </w:tabs>
        <w:ind w:left="431" w:hanging="431"/>
      </w:pPr>
      <w:r>
        <w:t>Summary</w:t>
      </w:r>
    </w:p>
    <w:p w14:paraId="6A4D8F3D" w14:textId="77777777" w:rsidR="00B10ADC" w:rsidRDefault="00B10ADC" w:rsidP="00B10ADC">
      <w:pPr>
        <w:rPr>
          <w:rFonts w:ascii="Calibri" w:hAnsi="Calibri" w:cs="Calibri"/>
          <w:b/>
          <w:bCs/>
        </w:rPr>
      </w:pPr>
      <w:r w:rsidRPr="003824B5">
        <w:rPr>
          <w:rFonts w:ascii="Calibri" w:hAnsi="Calibri" w:cs="Calibri"/>
          <w:b/>
          <w:bCs/>
        </w:rPr>
        <w:t xml:space="preserve">Case </w:t>
      </w:r>
      <w:proofErr w:type="gramStart"/>
      <w:r w:rsidRPr="003824B5">
        <w:rPr>
          <w:rFonts w:ascii="Calibri" w:hAnsi="Calibri" w:cs="Calibri"/>
          <w:b/>
          <w:bCs/>
        </w:rPr>
        <w:t>1 :</w:t>
      </w:r>
      <w:proofErr w:type="gramEnd"/>
      <w:r w:rsidRPr="003824B5">
        <w:rPr>
          <w:rFonts w:ascii="Calibri" w:hAnsi="Calibri" w:cs="Calibri"/>
          <w:b/>
          <w:bCs/>
        </w:rPr>
        <w:t xml:space="preserve"> </w:t>
      </w:r>
    </w:p>
    <w:p w14:paraId="3C7D1291" w14:textId="77777777" w:rsidR="00B10ADC" w:rsidRPr="003824B5" w:rsidRDefault="00B10ADC" w:rsidP="00B10ADC">
      <w:pPr>
        <w:pStyle w:val="ListParagraph"/>
        <w:numPr>
          <w:ilvl w:val="0"/>
          <w:numId w:val="5"/>
        </w:numPr>
        <w:rPr>
          <w:rFonts w:ascii="Calibri" w:hAnsi="Calibri" w:cs="Calibri"/>
          <w:b/>
          <w:bCs/>
        </w:rPr>
      </w:pPr>
      <w:r w:rsidRPr="003824B5">
        <w:rPr>
          <w:rFonts w:ascii="Calibri" w:hAnsi="Calibri" w:cs="Calibri"/>
          <w:b/>
          <w:bCs/>
        </w:rPr>
        <w:t xml:space="preserve">Both SA2 and CT4 confirm on the feasibility of signaling </w:t>
      </w:r>
      <w:r>
        <w:rPr>
          <w:rFonts w:ascii="Calibri" w:hAnsi="Calibri" w:cs="Calibri"/>
          <w:b/>
          <w:bCs/>
        </w:rPr>
        <w:t xml:space="preserve">the list of the </w:t>
      </w:r>
      <w:r w:rsidRPr="003824B5">
        <w:rPr>
          <w:rFonts w:ascii="Calibri" w:hAnsi="Calibri" w:cs="Calibri"/>
          <w:b/>
          <w:bCs/>
        </w:rPr>
        <w:t>most recent buffered data size per QFI</w:t>
      </w:r>
    </w:p>
    <w:p w14:paraId="253E24BC" w14:textId="77777777" w:rsidR="00B10ADC" w:rsidRDefault="00B10ADC" w:rsidP="00B10ADC">
      <w:pPr>
        <w:pStyle w:val="ListParagraph"/>
        <w:numPr>
          <w:ilvl w:val="0"/>
          <w:numId w:val="3"/>
        </w:numPr>
        <w:rPr>
          <w:rFonts w:ascii="Calibri" w:hAnsi="Calibri" w:cs="Calibri"/>
        </w:rPr>
      </w:pPr>
      <w:r>
        <w:rPr>
          <w:rFonts w:ascii="Calibri" w:hAnsi="Calibri" w:cs="Calibri"/>
        </w:rPr>
        <w:t>RAN3 adds a list of data size per QFI in the RAN PAGING REQUEST message.</w:t>
      </w:r>
    </w:p>
    <w:p w14:paraId="5C1414E4" w14:textId="77777777" w:rsidR="00B10ADC" w:rsidRDefault="00B10ADC" w:rsidP="00B10ADC">
      <w:pPr>
        <w:rPr>
          <w:rFonts w:ascii="Calibri" w:hAnsi="Calibri" w:cs="Calibri"/>
          <w:b/>
          <w:bCs/>
        </w:rPr>
      </w:pPr>
      <w:r w:rsidRPr="003824B5">
        <w:rPr>
          <w:rFonts w:ascii="Calibri" w:hAnsi="Calibri" w:cs="Calibri"/>
          <w:b/>
          <w:bCs/>
        </w:rPr>
        <w:t xml:space="preserve">Case2: </w:t>
      </w:r>
    </w:p>
    <w:p w14:paraId="09724B71" w14:textId="77777777" w:rsidR="00B10ADC" w:rsidRPr="001D4B52" w:rsidRDefault="00B10ADC" w:rsidP="00B10ADC">
      <w:pPr>
        <w:pStyle w:val="ListParagraph"/>
        <w:numPr>
          <w:ilvl w:val="0"/>
          <w:numId w:val="4"/>
        </w:numPr>
        <w:rPr>
          <w:rFonts w:ascii="Calibri" w:hAnsi="Calibri" w:cs="Calibri"/>
          <w:b/>
          <w:bCs/>
        </w:rPr>
      </w:pPr>
      <w:r w:rsidRPr="001D4B52">
        <w:rPr>
          <w:rFonts w:ascii="Calibri" w:hAnsi="Calibri" w:cs="Calibri"/>
          <w:b/>
          <w:bCs/>
        </w:rPr>
        <w:t xml:space="preserve">Both SA2 and CT4 express concerns on complexity and </w:t>
      </w:r>
      <w:r>
        <w:rPr>
          <w:rFonts w:ascii="Calibri" w:hAnsi="Calibri" w:cs="Calibri"/>
          <w:b/>
          <w:bCs/>
        </w:rPr>
        <w:t xml:space="preserve">CN </w:t>
      </w:r>
      <w:r w:rsidRPr="001D4B52">
        <w:rPr>
          <w:rFonts w:ascii="Calibri" w:hAnsi="Calibri" w:cs="Calibri"/>
          <w:b/>
          <w:bCs/>
        </w:rPr>
        <w:t>specification</w:t>
      </w:r>
      <w:r>
        <w:rPr>
          <w:rFonts w:ascii="Calibri" w:hAnsi="Calibri" w:cs="Calibri"/>
          <w:b/>
          <w:bCs/>
        </w:rPr>
        <w:t>s</w:t>
      </w:r>
      <w:r w:rsidRPr="001D4B52">
        <w:rPr>
          <w:rFonts w:ascii="Calibri" w:hAnsi="Calibri" w:cs="Calibri"/>
          <w:b/>
          <w:bCs/>
        </w:rPr>
        <w:t xml:space="preserve"> impacts on </w:t>
      </w:r>
      <w:r>
        <w:rPr>
          <w:rFonts w:ascii="Calibri" w:hAnsi="Calibri" w:cs="Calibri"/>
          <w:b/>
          <w:bCs/>
        </w:rPr>
        <w:t>s</w:t>
      </w:r>
      <w:r w:rsidRPr="001D4B52">
        <w:rPr>
          <w:rFonts w:ascii="Calibri" w:hAnsi="Calibri" w:cs="Calibri"/>
          <w:b/>
          <w:bCs/>
        </w:rPr>
        <w:t>upport</w:t>
      </w:r>
      <w:r>
        <w:rPr>
          <w:rFonts w:ascii="Calibri" w:hAnsi="Calibri" w:cs="Calibri"/>
          <w:b/>
          <w:bCs/>
        </w:rPr>
        <w:t>ing</w:t>
      </w:r>
      <w:r w:rsidRPr="001D4B52">
        <w:rPr>
          <w:rFonts w:ascii="Calibri" w:hAnsi="Calibri" w:cs="Calibri"/>
          <w:b/>
          <w:bCs/>
        </w:rPr>
        <w:t xml:space="preserve"> the solution of signaling most recent buffered data size per QFI.</w:t>
      </w:r>
    </w:p>
    <w:p w14:paraId="00C4F503" w14:textId="77777777" w:rsidR="00B10ADC" w:rsidRDefault="00B10ADC" w:rsidP="00B10ADC">
      <w:pPr>
        <w:pStyle w:val="ListParagraph"/>
        <w:numPr>
          <w:ilvl w:val="0"/>
          <w:numId w:val="3"/>
        </w:numPr>
        <w:rPr>
          <w:rFonts w:ascii="Calibri" w:hAnsi="Calibri" w:cs="Calibri"/>
        </w:rPr>
      </w:pPr>
      <w:r>
        <w:rPr>
          <w:rFonts w:ascii="Calibri" w:hAnsi="Calibri" w:cs="Calibri"/>
        </w:rPr>
        <w:t>Case 2.1: RAN3 adds the data size of the first DL Data packet</w:t>
      </w:r>
      <w:r w:rsidRPr="007D63C6">
        <w:rPr>
          <w:rFonts w:ascii="Calibri" w:hAnsi="Calibri" w:cs="Calibri"/>
        </w:rPr>
        <w:t xml:space="preserve"> </w:t>
      </w:r>
      <w:r>
        <w:rPr>
          <w:rFonts w:ascii="Calibri" w:hAnsi="Calibri" w:cs="Calibri"/>
        </w:rPr>
        <w:t>in the RAN PAGING REQUEST message.</w:t>
      </w:r>
    </w:p>
    <w:p w14:paraId="1EF82818" w14:textId="77777777" w:rsidR="00B10ADC" w:rsidRPr="00B10ADC" w:rsidRDefault="00B10ADC" w:rsidP="00B10ADC">
      <w:pPr>
        <w:pStyle w:val="ListParagraph"/>
        <w:numPr>
          <w:ilvl w:val="0"/>
          <w:numId w:val="3"/>
        </w:numPr>
        <w:rPr>
          <w:rFonts w:ascii="Calibri" w:hAnsi="Calibri" w:cs="Calibri"/>
        </w:rPr>
      </w:pPr>
      <w:r>
        <w:rPr>
          <w:rFonts w:ascii="Calibri" w:hAnsi="Calibri" w:cs="Calibri"/>
        </w:rPr>
        <w:t xml:space="preserve">Case 2.2: if RAN3 does not agree on Case 2.1, RAN3 does nothing. </w:t>
      </w:r>
      <w:r w:rsidRPr="00B10ADC">
        <w:rPr>
          <w:rFonts w:ascii="Calibri" w:hAnsi="Calibri" w:cs="Calibri"/>
          <w:b/>
          <w:bCs/>
          <w:highlight w:val="yellow"/>
        </w:rPr>
        <w:t>In such case the WI completion is not impacted</w:t>
      </w:r>
    </w:p>
    <w:p w14:paraId="6EAF02DF" w14:textId="14BE73B4" w:rsidR="00B10ADC" w:rsidRPr="001869C6" w:rsidRDefault="00B10ADC" w:rsidP="00B10ADC">
      <w:pPr>
        <w:pStyle w:val="Heading1"/>
        <w:tabs>
          <w:tab w:val="left" w:pos="432"/>
        </w:tabs>
        <w:ind w:left="431" w:hanging="431"/>
      </w:pPr>
      <w:r>
        <w:t>Conclusion</w:t>
      </w:r>
    </w:p>
    <w:p w14:paraId="3126D672" w14:textId="509CAF06" w:rsidR="00B10ADC" w:rsidRPr="00185EF0" w:rsidRDefault="00B10ADC" w:rsidP="00B10ADC">
      <w:pPr>
        <w:spacing w:before="240"/>
        <w:rPr>
          <w:rFonts w:ascii="Calibri" w:hAnsi="Calibri" w:cs="Calibri"/>
          <w:b/>
          <w:bCs/>
        </w:rPr>
      </w:pPr>
      <w:r w:rsidRPr="00185EF0">
        <w:rPr>
          <w:rFonts w:ascii="Calibri" w:hAnsi="Calibri" w:cs="Calibri"/>
          <w:b/>
          <w:bCs/>
        </w:rPr>
        <w:t xml:space="preserve">Observation </w:t>
      </w:r>
      <w:proofErr w:type="gramStart"/>
      <w:r w:rsidRPr="00185EF0">
        <w:rPr>
          <w:rFonts w:ascii="Calibri" w:hAnsi="Calibri" w:cs="Calibri"/>
          <w:b/>
          <w:bCs/>
        </w:rPr>
        <w:t>1 :</w:t>
      </w:r>
      <w:proofErr w:type="gramEnd"/>
      <w:r w:rsidRPr="00185EF0">
        <w:rPr>
          <w:rFonts w:ascii="Calibri" w:hAnsi="Calibri" w:cs="Calibri"/>
          <w:b/>
          <w:bCs/>
        </w:rPr>
        <w:t xml:space="preserve"> Whatever the outcome in RAN3 regarding the support or non-support of Data Size Information over NGAP in the RAN PAGING REQUEST message (</w:t>
      </w:r>
      <w:r w:rsidR="001869C6">
        <w:rPr>
          <w:rFonts w:ascii="Calibri" w:hAnsi="Calibri" w:cs="Calibri"/>
          <w:b/>
          <w:bCs/>
        </w:rPr>
        <w:t xml:space="preserve">the </w:t>
      </w:r>
      <w:r w:rsidR="001869C6" w:rsidRPr="00185EF0">
        <w:rPr>
          <w:rFonts w:ascii="Calibri" w:hAnsi="Calibri" w:cs="Calibri"/>
          <w:b/>
          <w:bCs/>
        </w:rPr>
        <w:t xml:space="preserve">Data Size Information </w:t>
      </w:r>
      <w:r w:rsidR="001869C6">
        <w:rPr>
          <w:rFonts w:ascii="Calibri" w:hAnsi="Calibri" w:cs="Calibri"/>
          <w:b/>
          <w:bCs/>
        </w:rPr>
        <w:t xml:space="preserve">is </w:t>
      </w:r>
      <w:r w:rsidRPr="00185EF0">
        <w:rPr>
          <w:rFonts w:ascii="Calibri" w:hAnsi="Calibri" w:cs="Calibri"/>
          <w:b/>
          <w:bCs/>
        </w:rPr>
        <w:t xml:space="preserve">either list of data size per QFI, or size of fir DL data packet, or doing nothing), the </w:t>
      </w:r>
      <w:proofErr w:type="spellStart"/>
      <w:r w:rsidR="001869C6">
        <w:rPr>
          <w:rFonts w:ascii="Calibri" w:hAnsi="Calibri" w:cs="Calibri"/>
          <w:b/>
          <w:bCs/>
        </w:rPr>
        <w:t>eRedCap</w:t>
      </w:r>
      <w:proofErr w:type="spellEnd"/>
      <w:r w:rsidR="001869C6">
        <w:rPr>
          <w:rFonts w:ascii="Calibri" w:hAnsi="Calibri" w:cs="Calibri"/>
          <w:b/>
          <w:bCs/>
        </w:rPr>
        <w:t xml:space="preserve"> </w:t>
      </w:r>
      <w:r w:rsidRPr="00185EF0">
        <w:rPr>
          <w:rFonts w:ascii="Calibri" w:hAnsi="Calibri" w:cs="Calibri"/>
          <w:b/>
          <w:bCs/>
        </w:rPr>
        <w:t>WI completion is not impacted.</w:t>
      </w:r>
    </w:p>
    <w:p w14:paraId="68A41F8A" w14:textId="77777777" w:rsidR="006F338C" w:rsidRPr="00C46560" w:rsidRDefault="006F338C" w:rsidP="006F338C">
      <w:pPr>
        <w:rPr>
          <w:rFonts w:ascii="Calibri" w:hAnsi="Calibri" w:cs="Calibri"/>
          <w:b/>
          <w:bCs/>
        </w:rPr>
      </w:pPr>
      <w:r w:rsidRPr="00C46560">
        <w:rPr>
          <w:rFonts w:ascii="Calibri" w:hAnsi="Calibri" w:cs="Calibri"/>
          <w:b/>
          <w:bCs/>
        </w:rPr>
        <w:t xml:space="preserve">Observation 2: In case </w:t>
      </w:r>
      <w:r>
        <w:rPr>
          <w:rFonts w:ascii="Calibri" w:hAnsi="Calibri" w:cs="Calibri"/>
          <w:b/>
          <w:bCs/>
        </w:rPr>
        <w:t xml:space="preserve">of </w:t>
      </w:r>
      <w:r w:rsidRPr="00C46560">
        <w:rPr>
          <w:rFonts w:ascii="Calibri" w:hAnsi="Calibri" w:cs="Calibri"/>
          <w:b/>
          <w:bCs/>
        </w:rPr>
        <w:t xml:space="preserve">SDT, </w:t>
      </w:r>
      <w:r>
        <w:rPr>
          <w:rFonts w:ascii="Calibri" w:hAnsi="Calibri" w:cs="Calibri"/>
          <w:b/>
          <w:bCs/>
        </w:rPr>
        <w:t>i</w:t>
      </w:r>
      <w:r w:rsidRPr="00C46560">
        <w:rPr>
          <w:rFonts w:ascii="Calibri" w:hAnsi="Calibri" w:cs="Calibri"/>
          <w:b/>
          <w:bCs/>
        </w:rPr>
        <w:t>t is expected that one MT-SDT transmission would in most cases fit in a single DL transmission</w:t>
      </w:r>
      <w:r>
        <w:rPr>
          <w:rFonts w:ascii="Calibri" w:hAnsi="Calibri" w:cs="Calibri"/>
          <w:b/>
          <w:bCs/>
        </w:rPr>
        <w:t xml:space="preserve"> and </w:t>
      </w:r>
      <w:r w:rsidRPr="006F338C">
        <w:rPr>
          <w:rFonts w:ascii="Calibri" w:hAnsi="Calibri" w:cs="Calibri"/>
          <w:b/>
          <w:bCs/>
        </w:rPr>
        <w:t>multiple QFIs will not exist for an SDT application</w:t>
      </w:r>
      <w:r>
        <w:rPr>
          <w:rFonts w:ascii="Calibri" w:hAnsi="Calibri" w:cs="Calibri"/>
          <w:b/>
          <w:bCs/>
        </w:rPr>
        <w:t>.</w:t>
      </w:r>
    </w:p>
    <w:p w14:paraId="5141B700" w14:textId="6662A8CA" w:rsidR="00B10ADC" w:rsidRPr="00E614CF" w:rsidRDefault="00B10ADC" w:rsidP="00B10ADC">
      <w:pPr>
        <w:rPr>
          <w:rFonts w:ascii="Calibri" w:hAnsi="Calibri" w:cs="Calibri"/>
          <w:b/>
          <w:bCs/>
        </w:rPr>
      </w:pPr>
      <w:r w:rsidRPr="00E614CF">
        <w:rPr>
          <w:rFonts w:ascii="Calibri" w:hAnsi="Calibri" w:cs="Calibri"/>
          <w:b/>
          <w:bCs/>
        </w:rPr>
        <w:t xml:space="preserve">Proposal 1: </w:t>
      </w:r>
      <w:r w:rsidRPr="00594B99">
        <w:rPr>
          <w:rFonts w:ascii="Calibri" w:hAnsi="Calibri" w:cs="Calibri"/>
          <w:b/>
          <w:bCs/>
        </w:rPr>
        <w:t>RAN3</w:t>
      </w:r>
      <w:r w:rsidRPr="00E614CF">
        <w:rPr>
          <w:rFonts w:ascii="Calibri" w:hAnsi="Calibri" w:cs="Calibri"/>
          <w:b/>
          <w:bCs/>
        </w:rPr>
        <w:t xml:space="preserve"> concludes that CN provid</w:t>
      </w:r>
      <w:r w:rsidR="00AD3B1C">
        <w:rPr>
          <w:rFonts w:ascii="Calibri" w:hAnsi="Calibri" w:cs="Calibri"/>
          <w:b/>
          <w:bCs/>
        </w:rPr>
        <w:t>ing</w:t>
      </w:r>
      <w:r w:rsidRPr="00E614CF">
        <w:rPr>
          <w:rFonts w:ascii="Calibri" w:hAnsi="Calibri" w:cs="Calibri"/>
          <w:b/>
          <w:bCs/>
        </w:rPr>
        <w:t xml:space="preserve"> the </w:t>
      </w:r>
      <w:r w:rsidR="006F338C">
        <w:rPr>
          <w:rFonts w:ascii="Calibri" w:hAnsi="Calibri" w:cs="Calibri"/>
          <w:b/>
          <w:bCs/>
        </w:rPr>
        <w:t>Data Size Information</w:t>
      </w:r>
      <w:r w:rsidR="00AD3B1C">
        <w:rPr>
          <w:rFonts w:ascii="Calibri" w:hAnsi="Calibri" w:cs="Calibri"/>
          <w:b/>
          <w:bCs/>
        </w:rPr>
        <w:t xml:space="preserve"> </w:t>
      </w:r>
      <w:r w:rsidRPr="00E614CF">
        <w:rPr>
          <w:rFonts w:ascii="Calibri" w:hAnsi="Calibri" w:cs="Calibri"/>
          <w:b/>
          <w:bCs/>
        </w:rPr>
        <w:t xml:space="preserve">to RAN with the value provided by UPF, based </w:t>
      </w:r>
      <w:r w:rsidRPr="00594B99">
        <w:rPr>
          <w:rFonts w:ascii="Calibri" w:hAnsi="Calibri" w:cs="Calibri"/>
          <w:b/>
          <w:bCs/>
        </w:rPr>
        <w:t xml:space="preserve">on size of first DL </w:t>
      </w:r>
      <w:r w:rsidR="00AD3B1C">
        <w:rPr>
          <w:rFonts w:ascii="Calibri" w:hAnsi="Calibri" w:cs="Calibri"/>
          <w:b/>
          <w:bCs/>
        </w:rPr>
        <w:t xml:space="preserve">data </w:t>
      </w:r>
      <w:r w:rsidRPr="00594B99">
        <w:rPr>
          <w:rFonts w:ascii="Calibri" w:hAnsi="Calibri" w:cs="Calibri"/>
          <w:b/>
          <w:bCs/>
        </w:rPr>
        <w:t>packet, is enough for Rel-18</w:t>
      </w:r>
      <w:r w:rsidRPr="00E614CF">
        <w:rPr>
          <w:rFonts w:ascii="Calibri" w:hAnsi="Calibri" w:cs="Calibri"/>
          <w:b/>
          <w:bCs/>
        </w:rPr>
        <w:t>.</w:t>
      </w:r>
    </w:p>
    <w:p w14:paraId="611654EA" w14:textId="77777777" w:rsidR="00B10ADC" w:rsidRPr="00DE1C0A" w:rsidRDefault="00B10ADC" w:rsidP="00B10ADC">
      <w:pPr>
        <w:spacing w:before="240"/>
        <w:rPr>
          <w:rFonts w:ascii="Calibri" w:hAnsi="Calibri" w:cs="Calibri"/>
          <w:b/>
          <w:bCs/>
        </w:rPr>
      </w:pPr>
      <w:r w:rsidRPr="00DE1C0A">
        <w:rPr>
          <w:rFonts w:ascii="Calibri" w:hAnsi="Calibri" w:cs="Calibri"/>
          <w:b/>
          <w:bCs/>
        </w:rPr>
        <w:t xml:space="preserve">Observation </w:t>
      </w:r>
      <w:proofErr w:type="gramStart"/>
      <w:r w:rsidRPr="00DE1C0A">
        <w:rPr>
          <w:rFonts w:ascii="Calibri" w:hAnsi="Calibri" w:cs="Calibri"/>
          <w:b/>
          <w:bCs/>
        </w:rPr>
        <w:t>3 :</w:t>
      </w:r>
      <w:proofErr w:type="gramEnd"/>
      <w:r w:rsidRPr="00DE1C0A">
        <w:rPr>
          <w:rFonts w:ascii="Calibri" w:hAnsi="Calibri" w:cs="Calibri"/>
          <w:b/>
          <w:bCs/>
        </w:rPr>
        <w:t xml:space="preserve"> The value range pf the DL Data Packet size is from 0 to 65535 bytes</w:t>
      </w:r>
    </w:p>
    <w:p w14:paraId="30C46DA6" w14:textId="77777777" w:rsidR="00B10ADC" w:rsidRDefault="00B10ADC" w:rsidP="00B10ADC">
      <w:pPr>
        <w:spacing w:before="240"/>
        <w:rPr>
          <w:rFonts w:ascii="Calibri" w:hAnsi="Calibri" w:cs="Calibri"/>
          <w:b/>
          <w:bCs/>
        </w:rPr>
      </w:pPr>
      <w:r w:rsidRPr="00B10ADC">
        <w:rPr>
          <w:rFonts w:ascii="Calibri" w:hAnsi="Calibri" w:cs="Calibri"/>
          <w:b/>
          <w:bCs/>
        </w:rPr>
        <w:t xml:space="preserve">Observation </w:t>
      </w:r>
      <w:proofErr w:type="gramStart"/>
      <w:r w:rsidRPr="00B10ADC">
        <w:rPr>
          <w:rFonts w:ascii="Calibri" w:hAnsi="Calibri" w:cs="Calibri"/>
          <w:b/>
          <w:bCs/>
        </w:rPr>
        <w:t>4 :</w:t>
      </w:r>
      <w:proofErr w:type="gramEnd"/>
      <w:r w:rsidRPr="00B10ADC">
        <w:rPr>
          <w:rFonts w:ascii="Calibri" w:hAnsi="Calibri" w:cs="Calibri"/>
          <w:b/>
          <w:bCs/>
        </w:rPr>
        <w:t xml:space="preserve"> The NG-RAN may decide to perform legacy RAN paging for data size higher than 65535 bytes for a first DL Data packet</w:t>
      </w:r>
      <w:r>
        <w:rPr>
          <w:rFonts w:ascii="Calibri" w:hAnsi="Calibri" w:cs="Calibri"/>
          <w:b/>
          <w:bCs/>
        </w:rPr>
        <w:t>.</w:t>
      </w:r>
    </w:p>
    <w:p w14:paraId="7AAF4E92" w14:textId="77777777" w:rsidR="00B10ADC" w:rsidRDefault="00B10ADC" w:rsidP="00B10ADC">
      <w:pPr>
        <w:spacing w:before="240"/>
        <w:rPr>
          <w:rFonts w:ascii="Calibri" w:hAnsi="Calibri" w:cs="Calibri"/>
          <w:b/>
          <w:bCs/>
        </w:rPr>
      </w:pPr>
      <w:r>
        <w:rPr>
          <w:rFonts w:ascii="Calibri" w:hAnsi="Calibri" w:cs="Calibri"/>
          <w:b/>
          <w:bCs/>
        </w:rPr>
        <w:t xml:space="preserve">Proposal 2: Introduce a Data Size Information that includes the first DL packet data size encoded as </w:t>
      </w:r>
      <w:proofErr w:type="gramStart"/>
      <w:r>
        <w:rPr>
          <w:rFonts w:ascii="Calibri" w:hAnsi="Calibri" w:cs="Calibri"/>
          <w:b/>
          <w:bCs/>
        </w:rPr>
        <w:t>INTEGER(</w:t>
      </w:r>
      <w:proofErr w:type="gramEnd"/>
      <w:r>
        <w:rPr>
          <w:rFonts w:ascii="Calibri" w:hAnsi="Calibri" w:cs="Calibri"/>
          <w:b/>
          <w:bCs/>
        </w:rPr>
        <w:t>0..65535,…) in the RAN PAGING REQUEST message.</w:t>
      </w:r>
    </w:p>
    <w:p w14:paraId="66CC688B" w14:textId="301315F4" w:rsidR="00C67886" w:rsidRDefault="00C67886" w:rsidP="00B10ADC">
      <w:pPr>
        <w:spacing w:before="240"/>
        <w:rPr>
          <w:rFonts w:ascii="Calibri" w:hAnsi="Calibri" w:cs="Calibri"/>
          <w:b/>
          <w:bCs/>
        </w:rPr>
      </w:pPr>
      <w:r>
        <w:rPr>
          <w:rFonts w:ascii="Calibri" w:hAnsi="Calibri" w:cs="Calibri"/>
          <w:b/>
          <w:bCs/>
        </w:rPr>
        <w:t>A TP to NGAP BL CR with options for down selection is available in [5]</w:t>
      </w:r>
    </w:p>
    <w:p w14:paraId="7219FEB6" w14:textId="4375749B" w:rsidR="00B10ADC" w:rsidRDefault="00C67886" w:rsidP="00B10ADC">
      <w:pPr>
        <w:pStyle w:val="Heading1"/>
        <w:tabs>
          <w:tab w:val="left" w:pos="432"/>
        </w:tabs>
        <w:ind w:left="431" w:hanging="431"/>
      </w:pPr>
      <w:r>
        <w:t>References</w:t>
      </w:r>
    </w:p>
    <w:p w14:paraId="60223D4A" w14:textId="12ED37E3" w:rsidR="006F2179" w:rsidRDefault="006F2179" w:rsidP="006F2179">
      <w:pPr>
        <w:pStyle w:val="ListParagraph"/>
        <w:numPr>
          <w:ilvl w:val="0"/>
          <w:numId w:val="6"/>
        </w:numPr>
      </w:pPr>
      <w:r>
        <w:t xml:space="preserve">R3-235765, Reply LS on INACTIVE eDRX above 10.24sec and </w:t>
      </w:r>
      <w:proofErr w:type="gramStart"/>
      <w:r>
        <w:t>SDT</w:t>
      </w:r>
      <w:proofErr w:type="gramEnd"/>
      <w:r>
        <w:t xml:space="preserve"> </w:t>
      </w:r>
    </w:p>
    <w:p w14:paraId="48E95766" w14:textId="3185B26B" w:rsidR="006F2179" w:rsidRDefault="006F2179" w:rsidP="00C727AB">
      <w:pPr>
        <w:pStyle w:val="ListParagraph"/>
        <w:numPr>
          <w:ilvl w:val="0"/>
          <w:numId w:val="6"/>
        </w:numPr>
      </w:pPr>
      <w:r>
        <w:t xml:space="preserve">R3-237151, Reply LS on INACTIVE eDRX above 10.24sec and </w:t>
      </w:r>
      <w:proofErr w:type="gramStart"/>
      <w:r>
        <w:t>SDT</w:t>
      </w:r>
      <w:proofErr w:type="gramEnd"/>
    </w:p>
    <w:p w14:paraId="3ACACBE8" w14:textId="6CFF58F6" w:rsidR="006F2179" w:rsidRDefault="006F2179" w:rsidP="006F2179">
      <w:pPr>
        <w:pStyle w:val="ListParagraph"/>
        <w:numPr>
          <w:ilvl w:val="0"/>
          <w:numId w:val="6"/>
        </w:numPr>
      </w:pPr>
      <w:r>
        <w:lastRenderedPageBreak/>
        <w:t xml:space="preserve">S2-2309757, Reply LS on INACTIVE eDRX above 10.24sec and </w:t>
      </w:r>
      <w:proofErr w:type="gramStart"/>
      <w:r>
        <w:t>SDT</w:t>
      </w:r>
      <w:proofErr w:type="gramEnd"/>
    </w:p>
    <w:p w14:paraId="469672D8" w14:textId="028E8B69" w:rsidR="006F2179" w:rsidRDefault="006F2179" w:rsidP="006F2179">
      <w:pPr>
        <w:pStyle w:val="ListParagraph"/>
        <w:numPr>
          <w:ilvl w:val="0"/>
          <w:numId w:val="6"/>
        </w:numPr>
      </w:pPr>
      <w:r>
        <w:t xml:space="preserve">R3-234589, LS to RAN2 on MT-SDT </w:t>
      </w:r>
      <w:proofErr w:type="spellStart"/>
      <w:r>
        <w:t>signalling</w:t>
      </w:r>
      <w:proofErr w:type="spellEnd"/>
      <w:r>
        <w:t xml:space="preserve"> optimization for partial context </w:t>
      </w:r>
      <w:proofErr w:type="gramStart"/>
      <w:r>
        <w:t>transfer</w:t>
      </w:r>
      <w:proofErr w:type="gramEnd"/>
    </w:p>
    <w:p w14:paraId="223AA764" w14:textId="07DE16B5" w:rsidR="006F2179" w:rsidRPr="00200152" w:rsidRDefault="006F2179" w:rsidP="006F2179">
      <w:pPr>
        <w:pStyle w:val="ListParagraph"/>
        <w:numPr>
          <w:ilvl w:val="0"/>
          <w:numId w:val="6"/>
        </w:numPr>
      </w:pPr>
      <w:r>
        <w:t>R3-23</w:t>
      </w:r>
      <w:r w:rsidR="001D7C41">
        <w:t>7531</w:t>
      </w:r>
      <w:r>
        <w:t>,</w:t>
      </w:r>
      <w:r w:rsidR="00BE0C8C">
        <w:t xml:space="preserve"> </w:t>
      </w:r>
      <w:r w:rsidR="00BE0C8C">
        <w:rPr>
          <w:lang w:val="en-GB"/>
        </w:rPr>
        <w:t xml:space="preserve">(TP to TS 38.413 BL CR): Addition of data size information options for MT-SDT paging with long enhanced </w:t>
      </w:r>
      <w:proofErr w:type="gramStart"/>
      <w:r w:rsidR="00BE0C8C">
        <w:rPr>
          <w:lang w:val="en-GB"/>
        </w:rPr>
        <w:t>eDRX</w:t>
      </w:r>
      <w:proofErr w:type="gramEnd"/>
    </w:p>
    <w:sectPr w:rsidR="006F2179" w:rsidRPr="002001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916"/>
    <w:multiLevelType w:val="hybridMultilevel"/>
    <w:tmpl w:val="76CE2DD8"/>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95D198A"/>
    <w:multiLevelType w:val="hybridMultilevel"/>
    <w:tmpl w:val="CA86192E"/>
    <w:lvl w:ilvl="0" w:tplc="74207BE6">
      <w:start w:val="2"/>
      <w:numFmt w:val="bullet"/>
      <w:lvlText w:val="-"/>
      <w:lvlJc w:val="left"/>
      <w:pPr>
        <w:ind w:left="360" w:hanging="36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EF86B84"/>
    <w:multiLevelType w:val="hybridMultilevel"/>
    <w:tmpl w:val="CD9A2940"/>
    <w:lvl w:ilvl="0" w:tplc="0ED8CFC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F986B80"/>
    <w:multiLevelType w:val="hybridMultilevel"/>
    <w:tmpl w:val="CC30D2BE"/>
    <w:lvl w:ilvl="0" w:tplc="F4CE1DB4">
      <w:start w:val="2"/>
      <w:numFmt w:val="bullet"/>
      <w:lvlText w:val="-"/>
      <w:lvlJc w:val="left"/>
      <w:pPr>
        <w:ind w:left="360" w:hanging="36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06596405">
    <w:abstractNumId w:val="1"/>
  </w:num>
  <w:num w:numId="2" w16cid:durableId="218368058">
    <w:abstractNumId w:val="1"/>
  </w:num>
  <w:num w:numId="3" w16cid:durableId="935744487">
    <w:abstractNumId w:val="0"/>
  </w:num>
  <w:num w:numId="4" w16cid:durableId="882139555">
    <w:abstractNumId w:val="4"/>
  </w:num>
  <w:num w:numId="5" w16cid:durableId="414130496">
    <w:abstractNumId w:val="2"/>
  </w:num>
  <w:num w:numId="6" w16cid:durableId="231235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94D"/>
    <w:rsid w:val="000C1D84"/>
    <w:rsid w:val="000D465B"/>
    <w:rsid w:val="00185EF0"/>
    <w:rsid w:val="001869C6"/>
    <w:rsid w:val="001A30A5"/>
    <w:rsid w:val="001D4B52"/>
    <w:rsid w:val="001D7C41"/>
    <w:rsid w:val="00200152"/>
    <w:rsid w:val="00200CFE"/>
    <w:rsid w:val="00252650"/>
    <w:rsid w:val="00261B66"/>
    <w:rsid w:val="0028294D"/>
    <w:rsid w:val="0029450E"/>
    <w:rsid w:val="002D2C37"/>
    <w:rsid w:val="003271C4"/>
    <w:rsid w:val="00330AC2"/>
    <w:rsid w:val="003824B5"/>
    <w:rsid w:val="003F0B4E"/>
    <w:rsid w:val="003F7E64"/>
    <w:rsid w:val="004258F7"/>
    <w:rsid w:val="004D1957"/>
    <w:rsid w:val="004D4237"/>
    <w:rsid w:val="00500493"/>
    <w:rsid w:val="00556AD1"/>
    <w:rsid w:val="00594B99"/>
    <w:rsid w:val="005C5BCB"/>
    <w:rsid w:val="00602DB3"/>
    <w:rsid w:val="00605A3A"/>
    <w:rsid w:val="00614527"/>
    <w:rsid w:val="006F2179"/>
    <w:rsid w:val="006F338C"/>
    <w:rsid w:val="00714D5E"/>
    <w:rsid w:val="007729C4"/>
    <w:rsid w:val="00791323"/>
    <w:rsid w:val="007D63C6"/>
    <w:rsid w:val="00801394"/>
    <w:rsid w:val="00830175"/>
    <w:rsid w:val="008B2C44"/>
    <w:rsid w:val="008D6394"/>
    <w:rsid w:val="0097103E"/>
    <w:rsid w:val="00983EF0"/>
    <w:rsid w:val="009E287E"/>
    <w:rsid w:val="00AD3B1C"/>
    <w:rsid w:val="00B10ADC"/>
    <w:rsid w:val="00BD6417"/>
    <w:rsid w:val="00BE0C8C"/>
    <w:rsid w:val="00C46560"/>
    <w:rsid w:val="00C67886"/>
    <w:rsid w:val="00CA4008"/>
    <w:rsid w:val="00CE170D"/>
    <w:rsid w:val="00DE1C0A"/>
    <w:rsid w:val="00E25AE6"/>
    <w:rsid w:val="00E614CF"/>
    <w:rsid w:val="00EF10CF"/>
    <w:rsid w:val="00F11243"/>
    <w:rsid w:val="00F46BBB"/>
    <w:rsid w:val="00FA52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6F5D5"/>
  <w15:chartTrackingRefBased/>
  <w15:docId w15:val="{A5D6A182-3762-447A-803C-9337DD8A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8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714D5E"/>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Normal"/>
    <w:next w:val="Normal"/>
    <w:link w:val="Heading2Char"/>
    <w:uiPriority w:val="9"/>
    <w:unhideWhenUsed/>
    <w:qFormat/>
    <w:rsid w:val="00F1124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4D5E"/>
    <w:rPr>
      <w:rFonts w:ascii="Arial" w:eastAsia="MS Mincho" w:hAnsi="Arial" w:cs="Arial"/>
      <w:bCs/>
      <w:sz w:val="36"/>
      <w:szCs w:val="32"/>
      <w:lang w:val="en-US" w:eastAsia="ja-JP"/>
    </w:rPr>
  </w:style>
  <w:style w:type="paragraph" w:customStyle="1" w:styleId="3GPPHeader">
    <w:name w:val="3GPP_Header"/>
    <w:basedOn w:val="Normal"/>
    <w:link w:val="3GPPHeaderChar"/>
    <w:qFormat/>
    <w:rsid w:val="00714D5E"/>
    <w:pPr>
      <w:tabs>
        <w:tab w:val="left" w:pos="1701"/>
        <w:tab w:val="right" w:pos="9639"/>
      </w:tabs>
      <w:spacing w:after="240"/>
    </w:pPr>
    <w:rPr>
      <w:b/>
      <w:sz w:val="24"/>
    </w:rPr>
  </w:style>
  <w:style w:type="paragraph" w:customStyle="1" w:styleId="CRCoverPage">
    <w:name w:val="CR Cover Page"/>
    <w:link w:val="CRCoverPageZchn"/>
    <w:qFormat/>
    <w:rsid w:val="00714D5E"/>
    <w:pPr>
      <w:spacing w:after="120" w:line="240" w:lineRule="auto"/>
    </w:pPr>
    <w:rPr>
      <w:rFonts w:ascii="Arial" w:eastAsia="MS Mincho" w:hAnsi="Arial" w:cs="Times New Roman"/>
      <w:sz w:val="20"/>
      <w:szCs w:val="20"/>
    </w:rPr>
  </w:style>
  <w:style w:type="character" w:customStyle="1" w:styleId="CRCoverPageZchn">
    <w:name w:val="CR Cover Page Zchn"/>
    <w:link w:val="CRCoverPage"/>
    <w:qFormat/>
    <w:rsid w:val="00714D5E"/>
    <w:rPr>
      <w:rFonts w:ascii="Arial" w:eastAsia="MS Mincho" w:hAnsi="Arial" w:cs="Times New Roman"/>
      <w:sz w:val="20"/>
      <w:szCs w:val="20"/>
    </w:rPr>
  </w:style>
  <w:style w:type="character" w:customStyle="1" w:styleId="3GPPHeaderChar">
    <w:name w:val="3GPP_Header Char"/>
    <w:link w:val="3GPPHeader"/>
    <w:rsid w:val="00714D5E"/>
    <w:rPr>
      <w:rFonts w:ascii="Times New Roman" w:eastAsia="MS Mincho" w:hAnsi="Times New Roman" w:cs="Times New Roman"/>
      <w:b/>
      <w:sz w:val="24"/>
      <w:szCs w:val="24"/>
      <w:lang w:val="en-US" w:eastAsia="ja-JP"/>
    </w:rPr>
  </w:style>
  <w:style w:type="character" w:customStyle="1" w:styleId="Heading2Char">
    <w:name w:val="Heading 2 Char"/>
    <w:basedOn w:val="DefaultParagraphFont"/>
    <w:link w:val="Heading2"/>
    <w:uiPriority w:val="9"/>
    <w:rsid w:val="00F11243"/>
    <w:rPr>
      <w:rFonts w:asciiTheme="majorHAnsi" w:eastAsiaTheme="majorEastAsia" w:hAnsiTheme="majorHAnsi" w:cstheme="majorBidi"/>
      <w:color w:val="2F5496" w:themeColor="accent1" w:themeShade="BF"/>
      <w:sz w:val="26"/>
      <w:szCs w:val="26"/>
      <w:lang w:val="en-US" w:eastAsia="ja-JP"/>
    </w:rPr>
  </w:style>
  <w:style w:type="paragraph" w:styleId="ListParagraph">
    <w:name w:val="List Paragraph"/>
    <w:basedOn w:val="Normal"/>
    <w:uiPriority w:val="34"/>
    <w:qFormat/>
    <w:rsid w:val="00F11243"/>
    <w:pPr>
      <w:ind w:left="720"/>
      <w:contextualSpacing/>
    </w:pPr>
  </w:style>
  <w:style w:type="paragraph" w:customStyle="1" w:styleId="TAL">
    <w:name w:val="TAL"/>
    <w:basedOn w:val="Normal"/>
    <w:link w:val="TALChar"/>
    <w:qFormat/>
    <w:rsid w:val="00DE1C0A"/>
    <w:pPr>
      <w:keepNext/>
      <w:keepLines/>
      <w:overflowPunct w:val="0"/>
      <w:autoSpaceDE w:val="0"/>
      <w:autoSpaceDN w:val="0"/>
      <w:adjustRightInd w:val="0"/>
      <w:spacing w:after="0"/>
      <w:textAlignment w:val="baseline"/>
    </w:pPr>
    <w:rPr>
      <w:rFonts w:ascii="Arial" w:eastAsia="Times New Roman" w:hAnsi="Arial"/>
      <w:color w:val="000000"/>
      <w:sz w:val="18"/>
      <w:szCs w:val="20"/>
      <w:lang w:val="en-GB"/>
    </w:rPr>
  </w:style>
  <w:style w:type="paragraph" w:customStyle="1" w:styleId="TAH">
    <w:name w:val="TAH"/>
    <w:basedOn w:val="TAC"/>
    <w:link w:val="TAHCar"/>
    <w:qFormat/>
    <w:rsid w:val="00DE1C0A"/>
    <w:rPr>
      <w:b/>
    </w:rPr>
  </w:style>
  <w:style w:type="paragraph" w:customStyle="1" w:styleId="TAC">
    <w:name w:val="TAC"/>
    <w:basedOn w:val="TAL"/>
    <w:link w:val="TACChar"/>
    <w:qFormat/>
    <w:rsid w:val="00DE1C0A"/>
    <w:pPr>
      <w:jc w:val="center"/>
    </w:pPr>
  </w:style>
  <w:style w:type="paragraph" w:customStyle="1" w:styleId="B1">
    <w:name w:val="B1"/>
    <w:basedOn w:val="List"/>
    <w:link w:val="B1Char"/>
    <w:qFormat/>
    <w:rsid w:val="00DE1C0A"/>
    <w:pPr>
      <w:overflowPunct w:val="0"/>
      <w:autoSpaceDE w:val="0"/>
      <w:autoSpaceDN w:val="0"/>
      <w:adjustRightInd w:val="0"/>
      <w:spacing w:after="180"/>
      <w:ind w:left="568" w:hanging="284"/>
      <w:contextualSpacing w:val="0"/>
      <w:textAlignment w:val="baseline"/>
    </w:pPr>
    <w:rPr>
      <w:rFonts w:eastAsia="Times New Roman"/>
      <w:color w:val="000000"/>
      <w:sz w:val="20"/>
      <w:szCs w:val="20"/>
      <w:lang w:val="en-GB"/>
    </w:rPr>
  </w:style>
  <w:style w:type="paragraph" w:customStyle="1" w:styleId="TF">
    <w:name w:val="TF"/>
    <w:aliases w:val="left"/>
    <w:basedOn w:val="Normal"/>
    <w:link w:val="TFChar"/>
    <w:qFormat/>
    <w:rsid w:val="00DE1C0A"/>
    <w:pPr>
      <w:keepLines/>
      <w:overflowPunct w:val="0"/>
      <w:autoSpaceDE w:val="0"/>
      <w:autoSpaceDN w:val="0"/>
      <w:adjustRightInd w:val="0"/>
      <w:spacing w:after="240"/>
      <w:jc w:val="center"/>
      <w:textAlignment w:val="baseline"/>
    </w:pPr>
    <w:rPr>
      <w:rFonts w:ascii="Arial" w:eastAsia="Times New Roman" w:hAnsi="Arial"/>
      <w:b/>
      <w:color w:val="000000"/>
      <w:sz w:val="20"/>
      <w:szCs w:val="20"/>
      <w:lang w:val="en-GB"/>
    </w:rPr>
  </w:style>
  <w:style w:type="character" w:customStyle="1" w:styleId="TAHCar">
    <w:name w:val="TAH Car"/>
    <w:link w:val="TAH"/>
    <w:rsid w:val="00DE1C0A"/>
    <w:rPr>
      <w:rFonts w:ascii="Arial" w:eastAsia="Times New Roman" w:hAnsi="Arial" w:cs="Times New Roman"/>
      <w:b/>
      <w:color w:val="000000"/>
      <w:sz w:val="18"/>
      <w:szCs w:val="20"/>
      <w:lang w:eastAsia="ja-JP"/>
    </w:rPr>
  </w:style>
  <w:style w:type="character" w:customStyle="1" w:styleId="B1Char">
    <w:name w:val="B1 Char"/>
    <w:link w:val="B1"/>
    <w:qFormat/>
    <w:rsid w:val="00DE1C0A"/>
    <w:rPr>
      <w:rFonts w:ascii="Times New Roman" w:eastAsia="Times New Roman" w:hAnsi="Times New Roman" w:cs="Times New Roman"/>
      <w:color w:val="000000"/>
      <w:sz w:val="20"/>
      <w:szCs w:val="20"/>
      <w:lang w:eastAsia="ja-JP"/>
    </w:rPr>
  </w:style>
  <w:style w:type="character" w:customStyle="1" w:styleId="TFChar">
    <w:name w:val="TF Char"/>
    <w:link w:val="TF"/>
    <w:qFormat/>
    <w:rsid w:val="00DE1C0A"/>
    <w:rPr>
      <w:rFonts w:ascii="Arial" w:eastAsia="Times New Roman" w:hAnsi="Arial" w:cs="Times New Roman"/>
      <w:b/>
      <w:color w:val="000000"/>
      <w:sz w:val="20"/>
      <w:szCs w:val="20"/>
      <w:lang w:eastAsia="ja-JP"/>
    </w:rPr>
  </w:style>
  <w:style w:type="character" w:customStyle="1" w:styleId="TALChar">
    <w:name w:val="TAL Char"/>
    <w:link w:val="TAL"/>
    <w:qFormat/>
    <w:locked/>
    <w:rsid w:val="00DE1C0A"/>
    <w:rPr>
      <w:rFonts w:ascii="Arial" w:eastAsia="Times New Roman" w:hAnsi="Arial" w:cs="Times New Roman"/>
      <w:color w:val="000000"/>
      <w:sz w:val="18"/>
      <w:szCs w:val="20"/>
      <w:lang w:eastAsia="ja-JP"/>
    </w:rPr>
  </w:style>
  <w:style w:type="character" w:customStyle="1" w:styleId="TACChar">
    <w:name w:val="TAC Char"/>
    <w:link w:val="TAC"/>
    <w:qFormat/>
    <w:locked/>
    <w:rsid w:val="00DE1C0A"/>
    <w:rPr>
      <w:rFonts w:ascii="Arial" w:eastAsia="Times New Roman" w:hAnsi="Arial" w:cs="Times New Roman"/>
      <w:color w:val="000000"/>
      <w:sz w:val="18"/>
      <w:szCs w:val="20"/>
      <w:lang w:eastAsia="ja-JP"/>
    </w:rPr>
  </w:style>
  <w:style w:type="paragraph" w:styleId="List">
    <w:name w:val="List"/>
    <w:basedOn w:val="Normal"/>
    <w:uiPriority w:val="99"/>
    <w:semiHidden/>
    <w:unhideWhenUsed/>
    <w:rsid w:val="00DE1C0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360669">
      <w:bodyDiv w:val="1"/>
      <w:marLeft w:val="0"/>
      <w:marRight w:val="0"/>
      <w:marTop w:val="0"/>
      <w:marBottom w:val="0"/>
      <w:divBdr>
        <w:top w:val="none" w:sz="0" w:space="0" w:color="auto"/>
        <w:left w:val="none" w:sz="0" w:space="0" w:color="auto"/>
        <w:bottom w:val="none" w:sz="0" w:space="0" w:color="auto"/>
        <w:right w:val="none" w:sz="0" w:space="0" w:color="auto"/>
      </w:divBdr>
    </w:div>
    <w:div w:id="209682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4</Pages>
  <Words>1142</Words>
  <Characters>6513</Characters>
  <Application>Microsoft Office Word</Application>
  <DocSecurity>0</DocSecurity>
  <Lines>54</Lines>
  <Paragraphs>15</Paragraphs>
  <ScaleCrop>false</ScaleCrop>
  <Company>Ericsson</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56</cp:revision>
  <dcterms:created xsi:type="dcterms:W3CDTF">2023-10-29T19:28:00Z</dcterms:created>
  <dcterms:modified xsi:type="dcterms:W3CDTF">2023-11-02T23:15:00Z</dcterms:modified>
</cp:coreProperties>
</file>